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111827"/>
          <w:sz w:val="35"/>
        </w:rPr>
        <w:t>Architect AI: Two-Page Startup Memo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color w:val="4B5563"/>
          <w:sz w:val="18"/>
        </w:rPr>
        <w:t>AI platform for residential design, construction drawings, code checks, permitting, and cost estimates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300"/>
        <w:gridCol w:w="3200"/>
        <w:gridCol w:w="1300"/>
        <w:gridCol w:w="3560"/>
      </w:tblGrid>
      <w:tr>
        <w:tc>
          <w:tcPr>
            <w:tcW w:type="dxa" w:w="1300"/>
            <w:vAlign w:val="center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Verdict</w:t>
            </w:r>
          </w:p>
        </w:tc>
        <w:tc>
          <w:tcPr>
            <w:tcW w:type="dxa" w:w="3200"/>
            <w:vAlign w:val="center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WATCH, not invest yet</w:t>
            </w:r>
          </w:p>
        </w:tc>
        <w:tc>
          <w:tcPr>
            <w:tcW w:type="dxa" w:w="1300"/>
            <w:vAlign w:val="center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Best wedge</w:t>
            </w:r>
          </w:p>
        </w:tc>
        <w:tc>
          <w:tcPr>
            <w:tcW w:type="dxa" w:w="3560"/>
            <w:vAlign w:val="center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B2B permit-package co-pilot for builders/design-build firms</w:t>
            </w:r>
          </w:p>
        </w:tc>
      </w:tr>
      <w:tr>
        <w:tc>
          <w:tcPr>
            <w:tcW w:type="dxa" w:w="1300"/>
            <w:vAlign w:val="center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Avoid</w:t>
            </w:r>
          </w:p>
        </w:tc>
        <w:tc>
          <w:tcPr>
            <w:tcW w:type="dxa" w:w="3200"/>
            <w:vAlign w:val="center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Broad DTC 'replace architects totally'</w:t>
            </w:r>
          </w:p>
        </w:tc>
        <w:tc>
          <w:tcPr>
            <w:tcW w:type="dxa" w:w="1300"/>
            <w:vAlign w:val="center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MVP</w:t>
            </w:r>
          </w:p>
        </w:tc>
        <w:tc>
          <w:tcPr>
            <w:tcW w:type="dxa" w:w="3560"/>
            <w:vAlign w:val="center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ADUs/remodels/custom homes in 1-3 jurisdictions with licensed review</w:t>
            </w:r>
          </w:p>
        </w:tc>
      </w:tr>
    </w:tbl>
    <w:p>
      <w:pPr>
        <w:spacing w:before="120" w:after="40" w:line="240" w:lineRule="auto"/>
      </w:pPr>
      <w:r>
        <w:rPr>
          <w:rFonts w:ascii="Arial" w:hAnsi="Arial"/>
          <w:b/>
          <w:color w:val="1F4E79"/>
          <w:sz w:val="24"/>
        </w:rPr>
        <w:t>The Idea</w:t>
      </w:r>
    </w:p>
    <w:p>
      <w:pPr>
        <w:spacing w:before="0" w:after="60" w:line="245" w:lineRule="auto"/>
      </w:pPr>
      <w:r>
        <w:rPr>
          <w:rFonts w:ascii="Arial" w:hAnsi="Arial"/>
          <w:b w:val="0"/>
          <w:color w:val="111827"/>
          <w:sz w:val="17"/>
        </w:rPr>
        <w:t>Build an AI platform that takes a homeowner or builder brief - address/parcel, budget, style, room program, site constraints, and desired changes - and turns it into design options, floor plans, 3D visuals, construction drawing drafts, code/zoning checklists, cost ranges, and a permit-package workflow. The ambitious version replaces the architect; the investable version compresses the residential architecture/permitting workflow while keeping licensed human review where required.</w:t>
      </w:r>
    </w:p>
    <w:p>
      <w:pPr>
        <w:pStyle w:val="ListBullet"/>
        <w:spacing w:before="0" w:after="50" w:line="245" w:lineRule="auto"/>
        <w:ind w:left="317" w:hanging="173"/>
      </w:pPr>
      <w:r>
        <w:rPr>
          <w:rFonts w:ascii="Arial" w:hAnsi="Arial"/>
          <w:color w:val="111827"/>
          <w:sz w:val="16"/>
        </w:rPr>
        <w:t>Initial buyer should be B2B: residential builders, design-build firms, drafting shops, small architecture firms, and later jurisdictions. Broad consumer DTC is weaker because homeowner intent is low-frequency and support-heavy.</w:t>
      </w:r>
    </w:p>
    <w:p>
      <w:pPr>
        <w:pStyle w:val="ListBullet"/>
        <w:spacing w:before="0" w:after="50" w:line="245" w:lineRule="auto"/>
        <w:ind w:left="317" w:hanging="173"/>
      </w:pPr>
      <w:r>
        <w:rPr>
          <w:rFonts w:ascii="Arial" w:hAnsi="Arial"/>
          <w:color w:val="111827"/>
          <w:sz w:val="16"/>
        </w:rPr>
        <w:t>Best first product: one project type in a few jurisdictions, e.g., ADUs, garage conversions, additions, remodels, or small custom homes. The output is not just a pretty plan; it is a package with drawings, checklist, estimate, review trail, and licensed sign-off path.</w:t>
      </w:r>
    </w:p>
    <w:p>
      <w:pPr>
        <w:spacing w:before="120" w:after="40" w:line="240" w:lineRule="auto"/>
      </w:pPr>
      <w:r>
        <w:rPr>
          <w:rFonts w:ascii="Arial" w:hAnsi="Arial"/>
          <w:b/>
          <w:color w:val="1F4E79"/>
          <w:sz w:val="24"/>
        </w:rPr>
        <w:t>How Big Is the Space?</w:t>
      </w:r>
    </w:p>
    <w:p>
      <w:pPr>
        <w:pStyle w:val="ListBullet"/>
        <w:spacing w:before="0" w:after="50" w:line="245" w:lineRule="auto"/>
        <w:ind w:left="317" w:hanging="173"/>
      </w:pPr>
      <w:r>
        <w:rPr>
          <w:rFonts w:ascii="Arial" w:hAnsi="Arial"/>
          <w:color w:val="111827"/>
          <w:sz w:val="16"/>
        </w:rPr>
        <w:t>U.S. private residential construction was running at about $930.2B seasonally adjusted annual rate in May 2026. Even a thin software take rate on design, permitting, estimating, or review is a large opportunity.</w:t>
      </w:r>
    </w:p>
    <w:p>
      <w:pPr>
        <w:pStyle w:val="ListBullet"/>
        <w:spacing w:before="0" w:after="50" w:line="245" w:lineRule="auto"/>
        <w:ind w:left="317" w:hanging="173"/>
      </w:pPr>
      <w:r>
        <w:rPr>
          <w:rFonts w:ascii="Arial" w:hAnsi="Arial"/>
          <w:color w:val="111827"/>
          <w:sz w:val="16"/>
        </w:rPr>
        <w:t>Architecture services are large but definition-sensitive: IBISWorld estimates global architectural services at about $249B in 2025. AIA data says U.S. architecture firms got about 20% of 2023 design revenue from residential work.</w:t>
      </w:r>
    </w:p>
    <w:p>
      <w:pPr>
        <w:pStyle w:val="ListBullet"/>
        <w:spacing w:before="0" w:after="50" w:line="245" w:lineRule="auto"/>
        <w:ind w:left="317" w:hanging="173"/>
      </w:pPr>
      <w:r>
        <w:rPr>
          <w:rFonts w:ascii="Arial" w:hAnsi="Arial"/>
          <w:color w:val="111827"/>
          <w:sz w:val="16"/>
        </w:rPr>
        <w:t>Demand is supported by labor and permitting constraints: BLS projects 4% architect employment growth from 2024-2034 with about 7,800 openings per year, while developers repeatedly cite permit delays as a housing bottleneck.</w:t>
      </w:r>
    </w:p>
    <w:p>
      <w:pPr>
        <w:spacing w:before="120" w:after="40" w:line="240" w:lineRule="auto"/>
      </w:pPr>
      <w:r>
        <w:rPr>
          <w:rFonts w:ascii="Arial" w:hAnsi="Arial"/>
          <w:b/>
          <w:color w:val="1F4E79"/>
          <w:sz w:val="24"/>
        </w:rPr>
        <w:t>Competitor Landscape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320"/>
        <w:gridCol w:w="1700"/>
        <w:gridCol w:w="3000"/>
        <w:gridCol w:w="3340"/>
      </w:tblGrid>
      <w:tr>
        <w:tc>
          <w:tcPr>
            <w:tcW w:type="dxa" w:w="132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Company / group</w:t>
            </w:r>
          </w:p>
        </w:tc>
        <w:tc>
          <w:tcPr>
            <w:tcW w:type="dxa" w:w="170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Funding / stage</w:t>
            </w:r>
          </w:p>
        </w:tc>
        <w:tc>
          <w:tcPr>
            <w:tcW w:type="dxa" w:w="300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What they do</w:t>
            </w:r>
          </w:p>
        </w:tc>
        <w:tc>
          <w:tcPr>
            <w:tcW w:type="dxa" w:w="334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Implication</w:t>
            </w:r>
          </w:p>
        </w:tc>
      </w:tr>
      <w:tr>
        <w:tc>
          <w:tcPr>
            <w:tcW w:type="dxa" w:w="132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Higharc</w:t>
            </w:r>
          </w:p>
        </w:tc>
        <w:tc>
          <w:tcPr>
            <w:tcW w:type="dxa" w:w="17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$95M Series C; $170M+ total</w:t>
            </w:r>
          </w:p>
        </w:tc>
        <w:tc>
          <w:tcPr>
            <w:tcW w:type="dxa" w:w="30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AI homebuilding OS: design, construction docs, estimating, sales workflows.</w:t>
            </w:r>
          </w:p>
        </w:tc>
        <w:tc>
          <w:tcPr>
            <w:tcW w:type="dxa" w:w="334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Strongest direct validation; builder-first, not consumer replacement.</w:t>
            </w:r>
          </w:p>
        </w:tc>
      </w:tr>
      <w:tr>
        <w:tc>
          <w:tcPr>
            <w:tcW w:type="dxa" w:w="132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Drafted / Maket</w:t>
            </w:r>
          </w:p>
        </w:tc>
        <w:tc>
          <w:tcPr>
            <w:tcW w:type="dxa" w:w="17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$16M seed; $3.4M CAD seed</w:t>
            </w:r>
          </w:p>
        </w:tc>
        <w:tc>
          <w:tcPr>
            <w:tcW w:type="dxa" w:w="30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AI home design, floor plans, 3D, CAD/PDF exports, residential visualization.</w:t>
            </w:r>
          </w:p>
        </w:tc>
        <w:tc>
          <w:tcPr>
            <w:tcW w:type="dxa" w:w="334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Closest DTC-ish wedge, but not proven full permit/stamp replacement.</w:t>
            </w:r>
          </w:p>
        </w:tc>
      </w:tr>
      <w:tr>
        <w:tc>
          <w:tcPr>
            <w:tcW w:type="dxa" w:w="132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PermitFlow</w:t>
            </w:r>
          </w:p>
        </w:tc>
        <w:tc>
          <w:tcPr>
            <w:tcW w:type="dxa" w:w="17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$54M Series B</w:t>
            </w:r>
          </w:p>
        </w:tc>
        <w:tc>
          <w:tcPr>
            <w:tcW w:type="dxa" w:w="30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AI permitting workflow for developers, builders, contractors, solar/renewables.</w:t>
            </w:r>
          </w:p>
        </w:tc>
        <w:tc>
          <w:tcPr>
            <w:tcW w:type="dxa" w:w="334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Owns permit ops layer; partner or competitor.</w:t>
            </w:r>
          </w:p>
        </w:tc>
      </w:tr>
      <w:tr>
        <w:tc>
          <w:tcPr>
            <w:tcW w:type="dxa" w:w="132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GreenLite</w:t>
            </w:r>
          </w:p>
        </w:tc>
        <w:tc>
          <w:tcPr>
            <w:tcW w:type="dxa" w:w="17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$49.5M Series B; ~$86M total</w:t>
            </w:r>
          </w:p>
        </w:tc>
        <w:tc>
          <w:tcPr>
            <w:tcW w:type="dxa" w:w="30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AI/private plan review and permitting for developers, enterprises, jurisdictions.</w:t>
            </w:r>
          </w:p>
        </w:tc>
        <w:tc>
          <w:tcPr>
            <w:tcW w:type="dxa" w:w="334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Strong compliance/plan-review competitor.</w:t>
            </w:r>
          </w:p>
        </w:tc>
      </w:tr>
      <w:tr>
        <w:tc>
          <w:tcPr>
            <w:tcW w:type="dxa" w:w="132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CodeComply / CivCheck / Archistar</w:t>
            </w:r>
          </w:p>
        </w:tc>
        <w:tc>
          <w:tcPr>
            <w:tcW w:type="dxa" w:w="17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Seed to acquired/partnered</w:t>
            </w:r>
          </w:p>
        </w:tc>
        <w:tc>
          <w:tcPr>
            <w:tcW w:type="dxa" w:w="30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AI plan review, applicant precheck, IBC/IRC/NFPA/ADA/local amendment checks.</w:t>
            </w:r>
          </w:p>
        </w:tc>
        <w:tc>
          <w:tcPr>
            <w:tcW w:type="dxa" w:w="334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City-side wedge is already active; final authority remains human/jurisdiction.</w:t>
            </w:r>
          </w:p>
        </w:tc>
      </w:tr>
      <w:tr>
        <w:tc>
          <w:tcPr>
            <w:tcW w:type="dxa" w:w="132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SWAPP / Pirros / Augmenta</w:t>
            </w:r>
          </w:p>
        </w:tc>
        <w:tc>
          <w:tcPr>
            <w:tcW w:type="dxa" w:w="17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Seed to Series A</w:t>
            </w:r>
          </w:p>
        </w:tc>
        <w:tc>
          <w:tcPr>
            <w:tcW w:type="dxa" w:w="30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Construction documentation, detail reuse, automated building/MEP design.</w:t>
            </w:r>
          </w:p>
        </w:tc>
        <w:tc>
          <w:tcPr>
            <w:tcW w:type="dxa" w:w="334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5F7FA"/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B2B firm-productivity path is real.</w:t>
            </w:r>
          </w:p>
        </w:tc>
      </w:tr>
      <w:tr>
        <w:tc>
          <w:tcPr>
            <w:tcW w:type="dxa" w:w="132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Motif / Autodesk Forma</w:t>
            </w:r>
          </w:p>
        </w:tc>
        <w:tc>
          <w:tcPr>
            <w:tcW w:type="dxa" w:w="17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$46M for Motif; Autodesk incumbent</w:t>
            </w:r>
          </w:p>
        </w:tc>
        <w:tc>
          <w:tcPr>
            <w:tcW w:type="dxa" w:w="300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Cloud-native AEC design and AI design/construction workflows.</w:t>
            </w:r>
          </w:p>
        </w:tc>
        <w:tc>
          <w:tcPr>
            <w:tcW w:type="dxa" w:w="3340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23" w:lineRule="auto"/>
            </w:pPr>
            <w:r>
              <w:rPr>
                <w:rFonts w:ascii="Arial" w:hAnsi="Arial"/>
                <w:b w:val="0"/>
                <w:color w:val="111827"/>
                <w:sz w:val="13"/>
              </w:rPr>
              <w:t>Major platform/bundling threat.</w:t>
            </w:r>
          </w:p>
        </w:tc>
      </w:tr>
    </w:tbl>
    <w:p>
      <w:pPr>
        <w:spacing w:after="0"/>
      </w:pPr>
      <w:r>
        <w:br w:type="page"/>
      </w:r>
    </w:p>
    <w:p>
      <w:pPr>
        <w:spacing w:before="120" w:after="40" w:line="240" w:lineRule="auto"/>
      </w:pPr>
      <w:r>
        <w:rPr>
          <w:rFonts w:ascii="Arial" w:hAnsi="Arial"/>
          <w:b/>
          <w:color w:val="1F4E79"/>
          <w:sz w:val="24"/>
        </w:rPr>
        <w:t>What AI Can Actually Do</w:t>
      </w:r>
    </w:p>
    <w:p>
      <w:pPr>
        <w:spacing w:before="0" w:after="60" w:line="245" w:lineRule="auto"/>
      </w:pPr>
      <w:r>
        <w:rPr>
          <w:rFonts w:ascii="Arial" w:hAnsi="Arial"/>
          <w:b w:val="0"/>
          <w:color w:val="111827"/>
          <w:sz w:val="17"/>
        </w:rPr>
        <w:t>AI can already generate attractive plans and iterations, read documents, draft code-check explanations, assemble permit artifacts, search/reuse details, and reduce repetitive production work. The hard part is turning this into a reliable, local, auditable, approval-grade workflow. Code rules are written for humans, local amendments vary, and final responsibility often sits with licensed architects, engineers, or building officials.</w:t>
      </w:r>
    </w:p>
    <w:p>
      <w:pPr>
        <w:pStyle w:val="ListBullet"/>
        <w:spacing w:before="0" w:after="50" w:line="245" w:lineRule="auto"/>
        <w:ind w:left="317" w:hanging="173"/>
      </w:pPr>
      <w:r>
        <w:rPr>
          <w:rFonts w:ascii="Arial" w:hAnsi="Arial"/>
          <w:color w:val="111827"/>
          <w:sz w:val="16"/>
        </w:rPr>
        <w:t>Technically plausible: BIM/NLP/AI and knowledge-graph research supports automated compliance checking, and 2025-2026 LLM papers show semi-automated Revit/code-check workflows.</w:t>
      </w:r>
    </w:p>
    <w:p>
      <w:pPr>
        <w:pStyle w:val="ListBullet"/>
        <w:spacing w:before="0" w:after="50" w:line="245" w:lineRule="auto"/>
        <w:ind w:left="317" w:hanging="173"/>
      </w:pPr>
      <w:r>
        <w:rPr>
          <w:rFonts w:ascii="Arial" w:hAnsi="Arial"/>
          <w:color w:val="111827"/>
          <w:sz w:val="16"/>
        </w:rPr>
        <w:t>Not autonomous enough yet: stamps, liability, structural/MEP coordination, energy/fire/accessibility rules, and building-official discretion make full replacement risky.</w:t>
      </w:r>
    </w:p>
    <w:p>
      <w:pPr>
        <w:spacing w:before="120" w:after="40" w:line="240" w:lineRule="auto"/>
      </w:pPr>
      <w:r>
        <w:rPr>
          <w:rFonts w:ascii="Arial" w:hAnsi="Arial"/>
          <w:b/>
          <w:color w:val="1F4E79"/>
          <w:sz w:val="24"/>
        </w:rPr>
        <w:t>Why It Could Be Good vs. Why It Could Be Bad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Good idea if...</w:t>
            </w:r>
          </w:p>
        </w:tc>
        <w:tc>
          <w:tcPr>
            <w:tcW w:type="dxa" w:w="4680"/>
            <w:shd w:fill="6B1F2A"/>
            <w:tcBorders>
              <w:top w:val="single" w:sz="4" w:space="0" w:color="6B1F2A"/>
              <w:left w:val="single" w:sz="4" w:space="0" w:color="6B1F2A"/>
              <w:bottom w:val="single" w:sz="4" w:space="0" w:color="6B1F2A"/>
              <w:right w:val="single" w:sz="4" w:space="0" w:color="6B1F2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Bad idea if...</w:t>
            </w:r>
          </w:p>
        </w:tc>
      </w:tr>
      <w:tr>
        <w:tc>
          <w:tcPr>
            <w:tcW w:type="dxa" w:w="4680"/>
            <w:shd w:fill="F8FAFC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</w:p>
          <w:p>
            <w:pPr>
              <w:spacing w:after="40" w:line="228" w:lineRule="auto"/>
            </w:pPr>
            <w:r>
              <w:rPr>
                <w:rFonts w:ascii="Arial" w:hAnsi="Arial"/>
                <w:color w:val="111827"/>
                <w:sz w:val="14"/>
              </w:rPr>
              <w:t>Starts narrowly, proves real permit outcomes, and sells to repeat B2B buyers.</w:t>
            </w:r>
          </w:p>
          <w:p>
            <w:pPr>
              <w:spacing w:after="40" w:line="228" w:lineRule="auto"/>
            </w:pPr>
            <w:r>
              <w:rPr>
                <w:rFonts w:ascii="Arial" w:hAnsi="Arial"/>
                <w:color w:val="111827"/>
                <w:sz w:val="14"/>
              </w:rPr>
              <w:t>Uses AI for drafting, plan assembly, cost ranges, code precheck, and correction response.</w:t>
            </w:r>
          </w:p>
          <w:p>
            <w:pPr>
              <w:spacing w:after="40" w:line="228" w:lineRule="auto"/>
            </w:pPr>
            <w:r>
              <w:rPr>
                <w:rFonts w:ascii="Arial" w:hAnsi="Arial"/>
                <w:color w:val="111827"/>
                <w:sz w:val="14"/>
              </w:rPr>
              <w:t>Keeps licensed professionals in the loop for stamps, structural, MEP, and local judgment.</w:t>
            </w:r>
          </w:p>
          <w:p>
            <w:pPr>
              <w:spacing w:after="40" w:line="228" w:lineRule="auto"/>
            </w:pPr>
            <w:r>
              <w:rPr>
                <w:rFonts w:ascii="Arial" w:hAnsi="Arial"/>
                <w:color w:val="111827"/>
                <w:sz w:val="14"/>
              </w:rPr>
              <w:t>Builds a proprietary approval-data loop: what passed, what failed, why, and in which jurisdiction.</w:t>
            </w:r>
          </w:p>
        </w:tc>
        <w:tc>
          <w:tcPr>
            <w:tcW w:type="dxa" w:w="4680"/>
            <w:shd w:fill="F8FAFC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</w:p>
          <w:p>
            <w:pPr>
              <w:spacing w:after="40" w:line="228" w:lineRule="auto"/>
            </w:pPr>
            <w:r>
              <w:rPr>
                <w:rFonts w:ascii="Arial" w:hAnsi="Arial"/>
                <w:color w:val="111827"/>
                <w:sz w:val="14"/>
              </w:rPr>
              <w:t>Tries to replace architects everywhere from day one.</w:t>
            </w:r>
          </w:p>
          <w:p>
            <w:pPr>
              <w:spacing w:after="40" w:line="228" w:lineRule="auto"/>
            </w:pPr>
            <w:r>
              <w:rPr>
                <w:rFonts w:ascii="Arial" w:hAnsi="Arial"/>
                <w:color w:val="111827"/>
                <w:sz w:val="14"/>
              </w:rPr>
              <w:t>Sells mostly to homeowners who are curious but not ready to build.</w:t>
            </w:r>
          </w:p>
          <w:p>
            <w:pPr>
              <w:spacing w:after="40" w:line="228" w:lineRule="auto"/>
            </w:pPr>
            <w:r>
              <w:rPr>
                <w:rFonts w:ascii="Arial" w:hAnsi="Arial"/>
                <w:color w:val="111827"/>
                <w:sz w:val="14"/>
              </w:rPr>
              <w:t>Underestimates liability, insurance, local amendments, code licensing, and reviewer discretion.</w:t>
            </w:r>
          </w:p>
          <w:p>
            <w:pPr>
              <w:spacing w:after="40" w:line="228" w:lineRule="auto"/>
            </w:pPr>
            <w:r>
              <w:rPr>
                <w:rFonts w:ascii="Arial" w:hAnsi="Arial"/>
                <w:color w:val="111827"/>
                <w:sz w:val="14"/>
              </w:rPr>
              <w:t>Becomes a services shop because every 'AI' plan needs many expert review hours.</w:t>
            </w:r>
          </w:p>
        </w:tc>
      </w:tr>
    </w:tbl>
    <w:p>
      <w:pPr>
        <w:spacing w:before="120" w:after="40" w:line="240" w:lineRule="auto"/>
      </w:pPr>
      <w:r>
        <w:rPr>
          <w:rFonts w:ascii="Arial" w:hAnsi="Arial"/>
          <w:b/>
          <w:color w:val="1F4E79"/>
          <w:sz w:val="24"/>
        </w:rPr>
        <w:t>Recommended Wedge</w:t>
      </w:r>
    </w:p>
    <w:p>
      <w:pPr>
        <w:spacing w:before="0" w:after="60" w:line="240" w:lineRule="auto"/>
      </w:pPr>
      <w:r>
        <w:rPr>
          <w:rFonts w:ascii="Arial" w:hAnsi="Arial"/>
          <w:b w:val="0"/>
          <w:color w:val="111827"/>
          <w:sz w:val="17"/>
        </w:rPr>
        <w:t>Position the company as an AI-native residential architecture operations layer, not an architect replacement. Start with permit-package automation for ADUs/remodels/custom homes in one jurisdiction. Ingest parcel data, owner brief, local zoning/code, builder standards, and prior approval patterns. Output schematic options, plan-set drafts, code checklist, cost/takeoff range, permit forms, correction-response drafts, and a licensed-review handoff.</w:t>
      </w:r>
    </w:p>
    <w:p>
      <w:pPr>
        <w:pStyle w:val="ListBullet"/>
        <w:spacing w:before="0" w:after="50" w:line="245" w:lineRule="auto"/>
        <w:ind w:left="317" w:hanging="173"/>
      </w:pPr>
      <w:r>
        <w:rPr>
          <w:rFonts w:ascii="Arial" w:hAnsi="Arial"/>
          <w:color w:val="111827"/>
          <w:sz w:val="16"/>
        </w:rPr>
        <w:t>Moat: jurisdiction-specific design/code/permit graph plus real outcome data - what was approved, rejected, corrected, and by whom.</w:t>
      </w:r>
    </w:p>
    <w:p>
      <w:pPr>
        <w:pStyle w:val="ListBullet"/>
        <w:spacing w:before="0" w:after="50" w:line="245" w:lineRule="auto"/>
        <w:ind w:left="317" w:hanging="173"/>
      </w:pPr>
      <w:r>
        <w:rPr>
          <w:rFonts w:ascii="Arial" w:hAnsi="Arial"/>
          <w:color w:val="111827"/>
          <w:sz w:val="16"/>
        </w:rPr>
        <w:t>Business model: per-project fees for permit packages, firm/builder subscriptions, and later jurisdiction-side precheck/plan-review SaaS.</w:t>
      </w:r>
    </w:p>
    <w:p>
      <w:pPr>
        <w:spacing w:before="120" w:after="40" w:line="240" w:lineRule="auto"/>
      </w:pPr>
      <w:r>
        <w:rPr>
          <w:rFonts w:ascii="Arial" w:hAnsi="Arial"/>
          <w:b/>
          <w:color w:val="1F4E79"/>
          <w:sz w:val="24"/>
        </w:rPr>
        <w:t>Investment View and Next Tests</w:t>
      </w:r>
    </w:p>
    <w:p>
      <w:pPr>
        <w:spacing w:before="0" w:after="40" w:line="240" w:lineRule="auto"/>
      </w:pPr>
      <w:r>
        <w:rPr>
          <w:rFonts w:ascii="Arial" w:hAnsi="Arial"/>
          <w:b w:val="0"/>
          <w:color w:val="111827"/>
          <w:sz w:val="17"/>
        </w:rPr>
        <w:t>Verdict remains WATCH. It becomes investable if the team proves approved-permit outcomes, not just demos. The next tests are: (1) recreate 20 recently approved packages in one city and compare AI output to accepted plans; (2) run 3-5 paid builder/firm pilots and measure drafting hours saved, correction cycles, and gross margin after expert review; (3) build one local-code precheck and target 80%+ recall on common correction categories.</w:t>
      </w:r>
    </w:p>
    <w:p>
      <w:pPr>
        <w:spacing w:before="0" w:after="80" w:line="240" w:lineRule="auto"/>
      </w:pPr>
      <w:r>
        <w:rPr>
          <w:rFonts w:ascii="Arial" w:hAnsi="Arial"/>
          <w:b/>
          <w:color w:val="111827"/>
          <w:sz w:val="17"/>
        </w:rPr>
        <w:t>Good idea if it is narrow, B2B, human-in-the-loop, and data-driven. Bad idea if it tries to sell a universal, fully autonomous architect directly to consumers before solving liability, local code, and approval outcomes.</w:t>
      </w:r>
    </w:p>
    <w:p>
      <w:pPr>
        <w:spacing w:before="0" w:after="0" w:line="228" w:lineRule="auto"/>
      </w:pPr>
      <w:r>
        <w:rPr>
          <w:rFonts w:ascii="Arial" w:hAnsi="Arial"/>
          <w:b w:val="0"/>
          <w:color w:val="4B5563"/>
          <w:sz w:val="14"/>
        </w:rPr>
        <w:t>Key sources: Higharc, Drafted, PermitFlow, GreenLite, CodeComply, CivCheck/Clariti, Archistar/ICC, SWAPP, Augmenta, Motif, Autodesk Forma, U.S. Census, AIA Firm Survey, BLS, NCARB, and automated code-compliance research.</w:t>
      </w:r>
    </w:p>
    <w:sectPr>
      <w:headerReference w:type="default" r:id="rId9"/>
      <w:footerReference w:type="default" r:id="rId10"/>
      <w:pgSz w:w="12240" w:h="15840"/>
      <w:pgMar w:top="792" w:right="835" w:bottom="691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rFonts w:ascii="Arial" w:hAnsi="Arial"/>
        <w:color w:val="4B5563"/>
        <w:sz w:val="14"/>
      </w:rPr>
      <w:t>Two-page ODF memo -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Arial" w:hAnsi="Arial"/>
        <w:b/>
        <w:color w:val="4B5563"/>
        <w:sz w:val="15"/>
      </w:rPr>
      <w:t>EIR Startup Diligence - Architect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