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B2545"/>
          <w:sz w:val="46"/>
        </w:rPr>
        <w:t>Austin Lake Vegetation Valorization</w:t>
      </w:r>
    </w:p>
    <w:p>
      <w:pPr>
        <w:spacing w:after="160"/>
      </w:pPr>
      <w:r>
        <w:rPr>
          <w:rFonts w:ascii="Calibri" w:hAnsi="Calibri"/>
          <w:color w:val="555555"/>
          <w:sz w:val="19"/>
        </w:rPr>
        <w:t>Four-page executive summary for partner discussion | Prepared June 17, 2026</w:t>
      </w:r>
    </w:p>
    <w:tbl>
      <w:tblPr>
        <w:tblW w:type="dxa" w:w="9360"/>
        <w:jc w:val="center"/>
        <w:tblLayout w:type="fixed"/>
        <w:tblLook w:firstColumn="1" w:firstRow="1" w:lastColumn="0" w:lastRow="0" w:noHBand="0" w:noVBand="1" w:val="04A0"/>
        <w:tblInd w:w="120" w:type="dxa"/>
      </w:tblPr>
      <w:tblGrid>
        <w:gridCol w:w="9360"/>
      </w:tblGrid>
      <w:tr>
        <w:tc>
          <w:tcPr>
            <w:tcW w:type="dxa" w:w="9360"/>
            <w:tcMar>
              <w:top w:w="80" w:type="dxa"/>
              <w:bottom w:w="80" w:type="dxa"/>
              <w:start w:w="120" w:type="dxa"/>
              <w:end w:w="120" w:type="dxa"/>
            </w:tcMar>
            <w:shd w:fill="F4F6F9"/>
          </w:tcPr>
          <w:p>
            <w:r/>
            <w:r>
              <w:rPr>
                <w:rFonts w:ascii="Calibri" w:hAnsi="Calibri"/>
                <w:b/>
                <w:color w:val="1F4D78"/>
                <w:sz w:val="19"/>
              </w:rPr>
              <w:t xml:space="preserve">Recommendation: </w:t>
            </w:r>
            <w:r>
              <w:rPr>
                <w:rFonts w:ascii="Calibri" w:hAnsi="Calibri"/>
                <w:sz w:val="18"/>
              </w:rPr>
              <w:t>Proceed with a clean-macrophyte resource-recovery pilot, not a consumer-product extraction venture. The near-term revenue stream is a mix of customer-paid recovery fees, avoided disposal, and partner processing into compost or anaerobic digestion feedstock. Food, feed, supplements, and wild-algae extracts should remain off the table until controlled sourcing and safety testing are proven.</w:t>
            </w:r>
          </w:p>
        </w:tc>
      </w:tr>
    </w:tbl>
    <w:p>
      <w:pPr>
        <w:pStyle w:val="Heading1"/>
      </w:pPr>
      <w:r>
        <w:rPr>
          <w:rFonts w:ascii="Calibri" w:hAnsi="Calibri"/>
        </w:rPr>
        <w:t>What the second revenue stream is</w:t>
      </w:r>
    </w:p>
    <w:p>
      <w:r>
        <w:rPr>
          <w:rFonts w:ascii="Calibri" w:hAnsi="Calibri"/>
        </w:rPr>
        <w:t>The collected biomass can create value, but the valuable unit is not the plant itself. It is the compliance-managed chain of custody around a wet, regulated, seasonal waste stream. The startup should charge for removal first, then capture incremental margin by routing clean Hydrilla and related submerged vegetation away from landfill into a tested compost, digestion, or soil-amendment pathway.</w:t>
      </w:r>
    </w:p>
    <w:p>
      <w:r>
        <w:rPr>
          <w:rFonts w:ascii="Calibri" w:hAnsi="Calibri"/>
        </w:rPr>
        <w:t>The Austin context matters. Lake Austin has a documented 2026 Hydrilla spike, but it is also a drinking-water reservoir where herbicides are not allowed and where mechanical work must avoid spreading fragments. Lady Bird Lake and parts of Lake Austin also have recurring potentially toxic blue-green algae. That means clean macrophytes and suspected cyanobacteria must be separated from the first day of operations.</w:t>
      </w:r>
    </w:p>
    <w:tbl>
      <w:tblPr>
        <w:tblStyle w:val="TableGrid"/>
        <w:tblW w:type="dxa" w:w="9360"/>
        <w:jc w:val="center"/>
        <w:tblLayout w:type="fixed"/>
        <w:tblLook w:firstColumn="1" w:firstRow="1" w:lastColumn="0" w:lastRow="0" w:noHBand="0" w:noVBand="1" w:val="04A0"/>
        <w:tblInd w:w="120" w:type="dxa"/>
      </w:tblPr>
      <w:tblGrid>
        <w:gridCol w:w="1950"/>
        <w:gridCol w:w="1450"/>
        <w:gridCol w:w="4300"/>
        <w:gridCol w:w="1660"/>
      </w:tblGrid>
      <w:tr>
        <w:tc>
          <w:tcPr>
            <w:tcW w:type="dxa" w:w="1950"/>
            <w:tcMar>
              <w:top w:w="80" w:type="dxa"/>
              <w:bottom w:w="80" w:type="dxa"/>
              <w:start w:w="120" w:type="dxa"/>
              <w:end w:w="120" w:type="dxa"/>
            </w:tcMar>
            <w:vAlign w:val="center"/>
            <w:shd w:fill="F2F4F7"/>
          </w:tcPr>
          <w:p>
            <w:pPr>
              <w:jc w:val="left"/>
            </w:pPr>
            <w:r/>
            <w:r>
              <w:rPr>
                <w:rFonts w:ascii="Calibri" w:hAnsi="Calibri"/>
                <w:b/>
                <w:color w:val="1F4D78"/>
                <w:sz w:val="14"/>
              </w:rPr>
              <w:t>Pathway</w:t>
            </w:r>
          </w:p>
        </w:tc>
        <w:tc>
          <w:tcPr>
            <w:tcW w:type="dxa" w:w="1450"/>
            <w:tcMar>
              <w:top w:w="80" w:type="dxa"/>
              <w:bottom w:w="80" w:type="dxa"/>
              <w:start w:w="120" w:type="dxa"/>
              <w:end w:w="120" w:type="dxa"/>
            </w:tcMar>
            <w:vAlign w:val="center"/>
            <w:shd w:fill="F2F4F7"/>
          </w:tcPr>
          <w:p>
            <w:pPr>
              <w:jc w:val="left"/>
            </w:pPr>
            <w:r/>
            <w:r>
              <w:rPr>
                <w:rFonts w:ascii="Calibri" w:hAnsi="Calibri"/>
                <w:b/>
                <w:color w:val="1F4D78"/>
                <w:sz w:val="14"/>
              </w:rPr>
              <w:t>Partner-ready?</w:t>
            </w:r>
          </w:p>
        </w:tc>
        <w:tc>
          <w:tcPr>
            <w:tcW w:type="dxa" w:w="4300"/>
            <w:tcMar>
              <w:top w:w="80" w:type="dxa"/>
              <w:bottom w:w="80" w:type="dxa"/>
              <w:start w:w="120" w:type="dxa"/>
              <w:end w:w="120" w:type="dxa"/>
            </w:tcMar>
            <w:vAlign w:val="center"/>
            <w:shd w:fill="F2F4F7"/>
          </w:tcPr>
          <w:p>
            <w:pPr>
              <w:jc w:val="left"/>
            </w:pPr>
            <w:r/>
            <w:r>
              <w:rPr>
                <w:rFonts w:ascii="Calibri" w:hAnsi="Calibri"/>
                <w:b/>
                <w:color w:val="1F4D78"/>
                <w:sz w:val="14"/>
              </w:rPr>
              <w:t>Commercial read</w:t>
            </w:r>
          </w:p>
        </w:tc>
        <w:tc>
          <w:tcPr>
            <w:tcW w:type="dxa" w:w="1660"/>
            <w:tcMar>
              <w:top w:w="80" w:type="dxa"/>
              <w:bottom w:w="80" w:type="dxa"/>
              <w:start w:w="120" w:type="dxa"/>
              <w:end w:w="120" w:type="dxa"/>
            </w:tcMar>
            <w:vAlign w:val="center"/>
            <w:shd w:fill="F2F4F7"/>
          </w:tcPr>
          <w:p>
            <w:pPr>
              <w:jc w:val="left"/>
            </w:pPr>
            <w:r/>
            <w:r>
              <w:rPr>
                <w:rFonts w:ascii="Calibri" w:hAnsi="Calibri"/>
                <w:b/>
                <w:color w:val="1F4D78"/>
                <w:sz w:val="14"/>
              </w:rPr>
              <w:t>First action</w:t>
            </w:r>
          </w:p>
        </w:tc>
      </w:tr>
      <w:tr>
        <w:tc>
          <w:tcPr>
            <w:tcW w:type="dxa" w:w="1950"/>
            <w:vAlign w:val="center"/>
          </w:tcPr>
          <w:p>
            <w:pPr>
              <w:jc w:val="left"/>
            </w:pPr>
            <w:r/>
            <w:r>
              <w:rPr>
                <w:rFonts w:ascii="Calibri" w:hAnsi="Calibri"/>
                <w:b w:val="0"/>
                <w:color w:val="111111"/>
                <w:sz w:val="14"/>
              </w:rPr>
              <w:t>Compost / soil amendment</w:t>
            </w:r>
          </w:p>
        </w:tc>
        <w:tc>
          <w:tcPr>
            <w:tcW w:type="dxa" w:w="1450"/>
            <w:vAlign w:val="center"/>
          </w:tcPr>
          <w:p>
            <w:pPr>
              <w:jc w:val="left"/>
            </w:pPr>
            <w:r/>
            <w:r>
              <w:rPr>
                <w:rFonts w:ascii="Calibri" w:hAnsi="Calibri"/>
                <w:b w:val="0"/>
                <w:color w:val="111111"/>
                <w:sz w:val="14"/>
              </w:rPr>
              <w:t>High</w:t>
            </w:r>
          </w:p>
        </w:tc>
        <w:tc>
          <w:tcPr>
            <w:tcW w:type="dxa" w:w="4300"/>
            <w:vAlign w:val="center"/>
          </w:tcPr>
          <w:p>
            <w:pPr>
              <w:jc w:val="left"/>
            </w:pPr>
            <w:r/>
            <w:r>
              <w:rPr>
                <w:rFonts w:ascii="Calibri" w:hAnsi="Calibri"/>
                <w:b w:val="0"/>
                <w:color w:val="111111"/>
                <w:sz w:val="14"/>
              </w:rPr>
              <w:t>Best first path; monetizes avoided disposal and environmental reporting more than product sales.</w:t>
            </w:r>
          </w:p>
        </w:tc>
        <w:tc>
          <w:tcPr>
            <w:tcW w:type="dxa" w:w="1660"/>
            <w:vAlign w:val="center"/>
          </w:tcPr>
          <w:p>
            <w:pPr>
              <w:jc w:val="left"/>
            </w:pPr>
            <w:r/>
            <w:r>
              <w:rPr>
                <w:rFonts w:ascii="Calibri" w:hAnsi="Calibri"/>
                <w:b w:val="0"/>
                <w:color w:val="111111"/>
                <w:sz w:val="14"/>
              </w:rPr>
              <w:t>Pilot with a permitted composter; test metals, nutrients, moisture, and toxins.</w:t>
            </w:r>
          </w:p>
        </w:tc>
      </w:tr>
      <w:tr>
        <w:tc>
          <w:tcPr>
            <w:tcW w:type="dxa" w:w="1950"/>
            <w:vAlign w:val="center"/>
          </w:tcPr>
          <w:p>
            <w:pPr>
              <w:jc w:val="left"/>
            </w:pPr>
            <w:r/>
            <w:r>
              <w:rPr>
                <w:rFonts w:ascii="Calibri" w:hAnsi="Calibri"/>
                <w:b w:val="0"/>
                <w:color w:val="111111"/>
                <w:sz w:val="14"/>
              </w:rPr>
              <w:t>Anaerobic digestion</w:t>
            </w:r>
          </w:p>
        </w:tc>
        <w:tc>
          <w:tcPr>
            <w:tcW w:type="dxa" w:w="1450"/>
            <w:vAlign w:val="center"/>
          </w:tcPr>
          <w:p>
            <w:pPr>
              <w:jc w:val="left"/>
            </w:pPr>
            <w:r/>
            <w:r>
              <w:rPr>
                <w:rFonts w:ascii="Calibri" w:hAnsi="Calibri"/>
                <w:b w:val="0"/>
                <w:color w:val="111111"/>
                <w:sz w:val="14"/>
              </w:rPr>
              <w:t>Medium</w:t>
            </w:r>
          </w:p>
        </w:tc>
        <w:tc>
          <w:tcPr>
            <w:tcW w:type="dxa" w:w="4300"/>
            <w:vAlign w:val="center"/>
          </w:tcPr>
          <w:p>
            <w:pPr>
              <w:jc w:val="left"/>
            </w:pPr>
            <w:r/>
            <w:r>
              <w:rPr>
                <w:rFonts w:ascii="Calibri" w:hAnsi="Calibri"/>
                <w:b w:val="0"/>
                <w:color w:val="111111"/>
                <w:sz w:val="14"/>
              </w:rPr>
              <w:t>Technically plausible but energy value per wet ton is low; partner gate economics decide.</w:t>
            </w:r>
          </w:p>
        </w:tc>
        <w:tc>
          <w:tcPr>
            <w:tcW w:type="dxa" w:w="1660"/>
            <w:vAlign w:val="center"/>
          </w:tcPr>
          <w:p>
            <w:pPr>
              <w:jc w:val="left"/>
            </w:pPr>
            <w:r/>
            <w:r>
              <w:rPr>
                <w:rFonts w:ascii="Calibri" w:hAnsi="Calibri"/>
                <w:b w:val="0"/>
                <w:color w:val="111111"/>
                <w:sz w:val="14"/>
              </w:rPr>
              <w:t>Run BMP test and ask Hornsby Bend/private digesters about co-digestion intake.</w:t>
            </w:r>
          </w:p>
        </w:tc>
      </w:tr>
      <w:tr>
        <w:tc>
          <w:tcPr>
            <w:tcW w:type="dxa" w:w="1950"/>
            <w:vAlign w:val="center"/>
          </w:tcPr>
          <w:p>
            <w:pPr>
              <w:jc w:val="left"/>
            </w:pPr>
            <w:r/>
            <w:r>
              <w:rPr>
                <w:rFonts w:ascii="Calibri" w:hAnsi="Calibri"/>
                <w:b w:val="0"/>
                <w:color w:val="111111"/>
                <w:sz w:val="14"/>
              </w:rPr>
              <w:t>Biochar / hydrochar</w:t>
            </w:r>
          </w:p>
        </w:tc>
        <w:tc>
          <w:tcPr>
            <w:tcW w:type="dxa" w:w="1450"/>
            <w:vAlign w:val="center"/>
          </w:tcPr>
          <w:p>
            <w:pPr>
              <w:jc w:val="left"/>
            </w:pPr>
            <w:r/>
            <w:r>
              <w:rPr>
                <w:rFonts w:ascii="Calibri" w:hAnsi="Calibri"/>
                <w:b w:val="0"/>
                <w:color w:val="111111"/>
                <w:sz w:val="14"/>
              </w:rPr>
              <w:t>Medium-low</w:t>
            </w:r>
          </w:p>
        </w:tc>
        <w:tc>
          <w:tcPr>
            <w:tcW w:type="dxa" w:w="4300"/>
            <w:vAlign w:val="center"/>
          </w:tcPr>
          <w:p>
            <w:pPr>
              <w:jc w:val="left"/>
            </w:pPr>
            <w:r/>
            <w:r>
              <w:rPr>
                <w:rFonts w:ascii="Calibri" w:hAnsi="Calibri"/>
                <w:b w:val="0"/>
                <w:color w:val="111111"/>
                <w:sz w:val="14"/>
              </w:rPr>
              <w:t>Potential premium soil product, but drying wet biomass can erase margin.</w:t>
            </w:r>
          </w:p>
        </w:tc>
        <w:tc>
          <w:tcPr>
            <w:tcW w:type="dxa" w:w="1660"/>
            <w:vAlign w:val="center"/>
          </w:tcPr>
          <w:p>
            <w:pPr>
              <w:jc w:val="left"/>
            </w:pPr>
            <w:r/>
            <w:r>
              <w:rPr>
                <w:rFonts w:ascii="Calibri" w:hAnsi="Calibri"/>
                <w:b w:val="0"/>
                <w:color w:val="111111"/>
                <w:sz w:val="14"/>
              </w:rPr>
              <w:t>Only test after compost/AD partner route works.</w:t>
            </w:r>
          </w:p>
        </w:tc>
      </w:tr>
      <w:tr>
        <w:tc>
          <w:tcPr>
            <w:tcW w:type="dxa" w:w="1950"/>
            <w:vAlign w:val="center"/>
          </w:tcPr>
          <w:p>
            <w:pPr>
              <w:jc w:val="left"/>
            </w:pPr>
            <w:r/>
            <w:r>
              <w:rPr>
                <w:rFonts w:ascii="Calibri" w:hAnsi="Calibri"/>
                <w:b w:val="0"/>
                <w:color w:val="111111"/>
                <w:sz w:val="14"/>
              </w:rPr>
              <w:t>Feed, supplement, extracts</w:t>
            </w:r>
          </w:p>
        </w:tc>
        <w:tc>
          <w:tcPr>
            <w:tcW w:type="dxa" w:w="1450"/>
            <w:vAlign w:val="center"/>
          </w:tcPr>
          <w:p>
            <w:pPr>
              <w:jc w:val="left"/>
            </w:pPr>
            <w:r/>
            <w:r>
              <w:rPr>
                <w:rFonts w:ascii="Calibri" w:hAnsi="Calibri"/>
                <w:b w:val="0"/>
                <w:color w:val="111111"/>
                <w:sz w:val="14"/>
              </w:rPr>
              <w:t>Low</w:t>
            </w:r>
          </w:p>
        </w:tc>
        <w:tc>
          <w:tcPr>
            <w:tcW w:type="dxa" w:w="4300"/>
            <w:vAlign w:val="center"/>
          </w:tcPr>
          <w:p>
            <w:pPr>
              <w:jc w:val="left"/>
            </w:pPr>
            <w:r/>
            <w:r>
              <w:rPr>
                <w:rFonts w:ascii="Calibri" w:hAnsi="Calibri"/>
                <w:b w:val="0"/>
                <w:color w:val="111111"/>
                <w:sz w:val="14"/>
              </w:rPr>
              <w:t>Not feasible from wild Austin lake biomass at partner-ready risk level.</w:t>
            </w:r>
          </w:p>
        </w:tc>
        <w:tc>
          <w:tcPr>
            <w:tcW w:type="dxa" w:w="1660"/>
            <w:vAlign w:val="center"/>
          </w:tcPr>
          <w:p>
            <w:pPr>
              <w:jc w:val="left"/>
            </w:pPr>
            <w:r/>
            <w:r>
              <w:rPr>
                <w:rFonts w:ascii="Calibri" w:hAnsi="Calibri"/>
                <w:b w:val="0"/>
                <w:color w:val="111111"/>
                <w:sz w:val="14"/>
              </w:rPr>
              <w:t>Do not pursue in first 24 months.</w:t>
            </w:r>
          </w:p>
        </w:tc>
      </w:tr>
    </w:tbl>
    <w:p>
      <w:pPr>
        <w:spacing w:before="160"/>
      </w:pPr>
      <w:r>
        <w:rPr>
          <w:rFonts w:ascii="Calibri" w:hAnsi="Calibri"/>
        </w:rPr>
        <w:t>Bottom line: the business should sell a clean removal service plus documented resource recovery. Product revenue is upside; avoided disposal and recovery fees are the bankable economics.</w:t>
      </w:r>
    </w:p>
    <w:p>
      <w:r>
        <w:br w:type="page"/>
      </w:r>
    </w:p>
    <w:p>
      <w:pPr>
        <w:pStyle w:val="Heading1"/>
      </w:pPr>
      <w:r>
        <w:rPr>
          <w:rFonts w:ascii="Calibri" w:hAnsi="Calibri"/>
        </w:rPr>
        <w:t>Operating Model And Cost Stack</w:t>
      </w:r>
    </w:p>
    <w:p>
      <w:r>
        <w:rPr>
          <w:rFonts w:ascii="Calibri" w:hAnsi="Calibri"/>
        </w:rPr>
        <w:t>Start with a partner-processing model. Buying or building a composting, digestion, or char facility too early would turn a service startup into a regulated waste-processing company before feedstock quality and volume are known. The first year should prove that vegetation can be segregated, permitted, hauled, tested, accepted by a processor, and tied to a customer-paid recovery fee.</w:t>
      </w:r>
    </w:p>
    <w:p>
      <w:pPr>
        <w:pStyle w:val="Heading2"/>
      </w:pPr>
      <w:r>
        <w:rPr>
          <w:rFonts w:ascii="Calibri" w:hAnsi="Calibri"/>
        </w:rPr>
        <w:t>Required workflow</w:t>
      </w:r>
    </w:p>
    <w:p>
      <w:pPr>
        <w:pStyle w:val="ListBullet"/>
        <w:spacing w:after="52"/>
        <w:ind w:left="346" w:hanging="173"/>
      </w:pPr>
      <w:r>
        <w:rPr>
          <w:rFonts w:ascii="Calibri" w:hAnsi="Calibri"/>
          <w:sz w:val="18"/>
        </w:rPr>
        <w:t>Collect only permitted clean macrophytes for reuse. Treat suspected blue-green algae as a separate hazard stream.</w:t>
      </w:r>
    </w:p>
    <w:p>
      <w:pPr>
        <w:pStyle w:val="ListBullet"/>
        <w:spacing w:after="52"/>
        <w:ind w:left="346" w:hanging="173"/>
      </w:pPr>
      <w:r>
        <w:rPr>
          <w:rFonts w:ascii="Calibri" w:hAnsi="Calibri"/>
          <w:sz w:val="18"/>
        </w:rPr>
        <w:t>Dewater at the jobsite or staging point where allowed; hauling water is the largest avoidable cost.</w:t>
      </w:r>
    </w:p>
    <w:p>
      <w:pPr>
        <w:pStyle w:val="ListBullet"/>
        <w:spacing w:after="52"/>
        <w:ind w:left="346" w:hanging="173"/>
      </w:pPr>
      <w:r>
        <w:rPr>
          <w:rFonts w:ascii="Calibri" w:hAnsi="Calibri"/>
          <w:sz w:val="18"/>
        </w:rPr>
        <w:t>Use covered, contained transport to prevent Hydrilla or milfoil fragment spread.</w:t>
      </w:r>
    </w:p>
    <w:p>
      <w:pPr>
        <w:pStyle w:val="ListBullet"/>
        <w:spacing w:after="52"/>
        <w:ind w:left="346" w:hanging="173"/>
      </w:pPr>
      <w:r>
        <w:rPr>
          <w:rFonts w:ascii="Calibri" w:hAnsi="Calibri"/>
          <w:sz w:val="18"/>
        </w:rPr>
        <w:t>Run a minimum lab panel: moisture, solids, NPK, C:N, metals, and cyanotoxins when any algae or mixed mats are possible.</w:t>
      </w:r>
    </w:p>
    <w:p>
      <w:pPr>
        <w:pStyle w:val="ListBullet"/>
        <w:spacing w:after="52"/>
        <w:ind w:left="346" w:hanging="173"/>
      </w:pPr>
      <w:r>
        <w:rPr>
          <w:rFonts w:ascii="Calibri" w:hAnsi="Calibri"/>
          <w:sz w:val="18"/>
        </w:rPr>
        <w:t>Route clean loads to a composter or digestion partner; route contaminated or uncertain loads to disposal.</w:t>
      </w:r>
    </w:p>
    <w:p>
      <w:pPr>
        <w:pStyle w:val="Heading2"/>
      </w:pPr>
      <w:r>
        <w:rPr>
          <w:rFonts w:ascii="Calibri" w:hAnsi="Calibri"/>
        </w:rPr>
        <w:t>Setup and variable-cost assumptions</w:t>
      </w:r>
    </w:p>
    <w:tbl>
      <w:tblPr>
        <w:tblStyle w:val="TableGrid"/>
        <w:tblW w:type="dxa" w:w="9360"/>
        <w:jc w:val="center"/>
        <w:tblLayout w:type="fixed"/>
        <w:tblLook w:firstColumn="1" w:firstRow="1" w:lastColumn="0" w:lastRow="0" w:noHBand="0" w:noVBand="1" w:val="04A0"/>
        <w:tblInd w:w="120" w:type="dxa"/>
      </w:tblPr>
      <w:tblGrid>
        <w:gridCol w:w="2300"/>
        <w:gridCol w:w="1700"/>
        <w:gridCol w:w="5360"/>
      </w:tblGrid>
      <w:tr>
        <w:tc>
          <w:tcPr>
            <w:tcW w:type="dxa" w:w="2300"/>
            <w:tcMar>
              <w:top w:w="80" w:type="dxa"/>
              <w:bottom w:w="80" w:type="dxa"/>
              <w:start w:w="120" w:type="dxa"/>
              <w:end w:w="120" w:type="dxa"/>
            </w:tcMar>
            <w:vAlign w:val="center"/>
            <w:shd w:fill="F2F4F7"/>
          </w:tcPr>
          <w:p>
            <w:pPr>
              <w:jc w:val="left"/>
            </w:pPr>
            <w:r/>
            <w:r>
              <w:rPr>
                <w:rFonts w:ascii="Calibri" w:hAnsi="Calibri"/>
                <w:b/>
                <w:color w:val="1F4D78"/>
                <w:sz w:val="15"/>
              </w:rPr>
              <w:t>Cost item</w:t>
            </w:r>
          </w:p>
        </w:tc>
        <w:tc>
          <w:tcPr>
            <w:tcW w:type="dxa" w:w="1700"/>
            <w:tcMar>
              <w:top w:w="80" w:type="dxa"/>
              <w:bottom w:w="80" w:type="dxa"/>
              <w:start w:w="120" w:type="dxa"/>
              <w:end w:w="120" w:type="dxa"/>
            </w:tcMar>
            <w:vAlign w:val="center"/>
            <w:shd w:fill="F2F4F7"/>
          </w:tcPr>
          <w:p>
            <w:pPr>
              <w:jc w:val="left"/>
            </w:pPr>
            <w:r/>
            <w:r>
              <w:rPr>
                <w:rFonts w:ascii="Calibri" w:hAnsi="Calibri"/>
                <w:b/>
                <w:color w:val="1F4D78"/>
                <w:sz w:val="15"/>
              </w:rPr>
              <w:t>Pilot range</w:t>
            </w:r>
          </w:p>
        </w:tc>
        <w:tc>
          <w:tcPr>
            <w:tcW w:type="dxa" w:w="5360"/>
            <w:tcMar>
              <w:top w:w="80" w:type="dxa"/>
              <w:bottom w:w="80" w:type="dxa"/>
              <w:start w:w="120" w:type="dxa"/>
              <w:end w:w="120" w:type="dxa"/>
            </w:tcMar>
            <w:vAlign w:val="center"/>
            <w:shd w:fill="F2F4F7"/>
          </w:tcPr>
          <w:p>
            <w:pPr>
              <w:jc w:val="left"/>
            </w:pPr>
            <w:r/>
            <w:r>
              <w:rPr>
                <w:rFonts w:ascii="Calibri" w:hAnsi="Calibri"/>
                <w:b/>
                <w:color w:val="1F4D78"/>
                <w:sz w:val="15"/>
              </w:rPr>
              <w:t>What it covers</w:t>
            </w:r>
          </w:p>
        </w:tc>
      </w:tr>
      <w:tr>
        <w:tc>
          <w:tcPr>
            <w:tcW w:type="dxa" w:w="2300"/>
            <w:vAlign w:val="center"/>
          </w:tcPr>
          <w:p>
            <w:pPr>
              <w:jc w:val="left"/>
            </w:pPr>
            <w:r/>
            <w:r>
              <w:rPr>
                <w:rFonts w:ascii="Calibri" w:hAnsi="Calibri"/>
                <w:b w:val="0"/>
                <w:color w:val="111111"/>
                <w:sz w:val="15"/>
              </w:rPr>
              <w:t>Permits, SOPs, insurance review</w:t>
            </w:r>
          </w:p>
        </w:tc>
        <w:tc>
          <w:tcPr>
            <w:tcW w:type="dxa" w:w="1700"/>
            <w:vAlign w:val="center"/>
          </w:tcPr>
          <w:p>
            <w:pPr>
              <w:jc w:val="left"/>
            </w:pPr>
            <w:r/>
            <w:r>
              <w:rPr>
                <w:rFonts w:ascii="Calibri" w:hAnsi="Calibri"/>
                <w:b w:val="0"/>
                <w:color w:val="111111"/>
                <w:sz w:val="15"/>
              </w:rPr>
              <w:t>$8k-$18k</w:t>
            </w:r>
          </w:p>
        </w:tc>
        <w:tc>
          <w:tcPr>
            <w:tcW w:type="dxa" w:w="5360"/>
            <w:vAlign w:val="center"/>
          </w:tcPr>
          <w:p>
            <w:pPr>
              <w:jc w:val="left"/>
            </w:pPr>
            <w:r/>
            <w:r>
              <w:rPr>
                <w:rFonts w:ascii="Calibri" w:hAnsi="Calibri"/>
                <w:b w:val="0"/>
                <w:color w:val="111111"/>
                <w:sz w:val="15"/>
              </w:rPr>
              <w:t>TPWD treatment proposal/permit workflow, transport protocol, customer authorizations, safety rules.</w:t>
            </w:r>
          </w:p>
        </w:tc>
      </w:tr>
      <w:tr>
        <w:tc>
          <w:tcPr>
            <w:tcW w:type="dxa" w:w="2300"/>
            <w:vAlign w:val="center"/>
          </w:tcPr>
          <w:p>
            <w:pPr>
              <w:jc w:val="left"/>
            </w:pPr>
            <w:r/>
            <w:r>
              <w:rPr>
                <w:rFonts w:ascii="Calibri" w:hAnsi="Calibri"/>
                <w:b w:val="0"/>
                <w:color w:val="111111"/>
                <w:sz w:val="15"/>
              </w:rPr>
              <w:t>Testing program</w:t>
            </w:r>
          </w:p>
        </w:tc>
        <w:tc>
          <w:tcPr>
            <w:tcW w:type="dxa" w:w="1700"/>
            <w:vAlign w:val="center"/>
          </w:tcPr>
          <w:p>
            <w:pPr>
              <w:jc w:val="left"/>
            </w:pPr>
            <w:r/>
            <w:r>
              <w:rPr>
                <w:rFonts w:ascii="Calibri" w:hAnsi="Calibri"/>
                <w:b w:val="0"/>
                <w:color w:val="111111"/>
                <w:sz w:val="15"/>
              </w:rPr>
              <w:t>$4k-$12k</w:t>
            </w:r>
          </w:p>
        </w:tc>
        <w:tc>
          <w:tcPr>
            <w:tcW w:type="dxa" w:w="5360"/>
            <w:vAlign w:val="center"/>
          </w:tcPr>
          <w:p>
            <w:pPr>
              <w:jc w:val="left"/>
            </w:pPr>
            <w:r/>
            <w:r>
              <w:rPr>
                <w:rFonts w:ascii="Calibri" w:hAnsi="Calibri"/>
                <w:b w:val="0"/>
                <w:color w:val="111111"/>
                <w:sz w:val="15"/>
              </w:rPr>
              <w:t>TAMU nutrient/solids panels are inexpensive; cyanotoxin and metals panels drive cost when algae risk is present.</w:t>
            </w:r>
          </w:p>
        </w:tc>
      </w:tr>
      <w:tr>
        <w:tc>
          <w:tcPr>
            <w:tcW w:type="dxa" w:w="2300"/>
            <w:vAlign w:val="center"/>
          </w:tcPr>
          <w:p>
            <w:pPr>
              <w:jc w:val="left"/>
            </w:pPr>
            <w:r/>
            <w:r>
              <w:rPr>
                <w:rFonts w:ascii="Calibri" w:hAnsi="Calibri"/>
                <w:b w:val="0"/>
                <w:color w:val="111111"/>
                <w:sz w:val="15"/>
              </w:rPr>
              <w:t>Transport setup</w:t>
            </w:r>
          </w:p>
        </w:tc>
        <w:tc>
          <w:tcPr>
            <w:tcW w:type="dxa" w:w="1700"/>
            <w:vAlign w:val="center"/>
          </w:tcPr>
          <w:p>
            <w:pPr>
              <w:jc w:val="left"/>
            </w:pPr>
            <w:r/>
            <w:r>
              <w:rPr>
                <w:rFonts w:ascii="Calibri" w:hAnsi="Calibri"/>
                <w:b w:val="0"/>
                <w:color w:val="111111"/>
                <w:sz w:val="15"/>
              </w:rPr>
              <w:t>$10k-$35k</w:t>
            </w:r>
          </w:p>
        </w:tc>
        <w:tc>
          <w:tcPr>
            <w:tcW w:type="dxa" w:w="5360"/>
            <w:vAlign w:val="center"/>
          </w:tcPr>
          <w:p>
            <w:pPr>
              <w:jc w:val="left"/>
            </w:pPr>
            <w:r/>
            <w:r>
              <w:rPr>
                <w:rFonts w:ascii="Calibri" w:hAnsi="Calibri"/>
                <w:b w:val="0"/>
                <w:color w:val="111111"/>
                <w:sz w:val="15"/>
              </w:rPr>
              <w:t>Tarps, containment, pumps, geotextile bags, bins, scale process, or leased watertight trailers.</w:t>
            </w:r>
          </w:p>
        </w:tc>
      </w:tr>
      <w:tr>
        <w:tc>
          <w:tcPr>
            <w:tcW w:type="dxa" w:w="2300"/>
            <w:vAlign w:val="center"/>
          </w:tcPr>
          <w:p>
            <w:pPr>
              <w:jc w:val="left"/>
            </w:pPr>
            <w:r/>
            <w:r>
              <w:rPr>
                <w:rFonts w:ascii="Calibri" w:hAnsi="Calibri"/>
                <w:b w:val="0"/>
                <w:color w:val="111111"/>
                <w:sz w:val="15"/>
              </w:rPr>
              <w:t>Hauling and gate fees</w:t>
            </w:r>
          </w:p>
        </w:tc>
        <w:tc>
          <w:tcPr>
            <w:tcW w:type="dxa" w:w="1700"/>
            <w:vAlign w:val="center"/>
          </w:tcPr>
          <w:p>
            <w:pPr>
              <w:jc w:val="left"/>
            </w:pPr>
            <w:r/>
            <w:r>
              <w:rPr>
                <w:rFonts w:ascii="Calibri" w:hAnsi="Calibri"/>
                <w:b w:val="0"/>
                <w:color w:val="111111"/>
                <w:sz w:val="15"/>
              </w:rPr>
              <w:t>$25-$70/wet ton</w:t>
            </w:r>
          </w:p>
        </w:tc>
        <w:tc>
          <w:tcPr>
            <w:tcW w:type="dxa" w:w="5360"/>
            <w:vAlign w:val="center"/>
          </w:tcPr>
          <w:p>
            <w:pPr>
              <w:jc w:val="left"/>
            </w:pPr>
            <w:r/>
            <w:r>
              <w:rPr>
                <w:rFonts w:ascii="Calibri" w:hAnsi="Calibri"/>
                <w:b w:val="0"/>
                <w:color w:val="111111"/>
                <w:sz w:val="15"/>
              </w:rPr>
              <w:t>Depends on distance, dewatering, load size, and whether material is accepted as compostable organics or landfill waste.</w:t>
            </w:r>
          </w:p>
        </w:tc>
      </w:tr>
      <w:tr>
        <w:tc>
          <w:tcPr>
            <w:tcW w:type="dxa" w:w="2300"/>
            <w:vAlign w:val="center"/>
          </w:tcPr>
          <w:p>
            <w:pPr>
              <w:jc w:val="left"/>
            </w:pPr>
            <w:r/>
            <w:r>
              <w:rPr>
                <w:rFonts w:ascii="Calibri" w:hAnsi="Calibri"/>
                <w:b w:val="0"/>
                <w:color w:val="111111"/>
                <w:sz w:val="15"/>
              </w:rPr>
              <w:t>Processing partner</w:t>
            </w:r>
          </w:p>
        </w:tc>
        <w:tc>
          <w:tcPr>
            <w:tcW w:type="dxa" w:w="1700"/>
            <w:vAlign w:val="center"/>
          </w:tcPr>
          <w:p>
            <w:pPr>
              <w:jc w:val="left"/>
            </w:pPr>
            <w:r/>
            <w:r>
              <w:rPr>
                <w:rFonts w:ascii="Calibri" w:hAnsi="Calibri"/>
                <w:b w:val="0"/>
                <w:color w:val="111111"/>
                <w:sz w:val="15"/>
              </w:rPr>
              <w:t>$0-$35/wet ton</w:t>
            </w:r>
          </w:p>
        </w:tc>
        <w:tc>
          <w:tcPr>
            <w:tcW w:type="dxa" w:w="5360"/>
            <w:vAlign w:val="center"/>
          </w:tcPr>
          <w:p>
            <w:pPr>
              <w:jc w:val="left"/>
            </w:pPr>
            <w:r/>
            <w:r>
              <w:rPr>
                <w:rFonts w:ascii="Calibri" w:hAnsi="Calibri"/>
                <w:b w:val="0"/>
                <w:color w:val="111111"/>
                <w:sz w:val="15"/>
              </w:rPr>
              <w:t>A composter or digester may charge, discount, or reject depending on contamination, moisture, and process fit.</w:t>
            </w:r>
          </w:p>
        </w:tc>
      </w:tr>
    </w:tbl>
    <w:p>
      <w:r>
        <w:rPr>
          <w:rFonts w:ascii="Calibri" w:hAnsi="Calibri"/>
        </w:rPr>
        <w:t>Local anchors support these assumptions. TDS posts municipal solid waste landfill rates at $60/ton plus fees, and brush/leaves/untreated lumber at $30/ton for large loads at the Creedmoor landfill. Austin Water's Dillo Dirt program proves local compost infrastructure exists, but its feedstock is controlled biosolids plus brush, not automatically invasive aquatic weeds. Partner acceptance must be negotiated.</w:t>
      </w:r>
    </w:p>
    <w:p>
      <w:pPr>
        <w:pStyle w:val="Heading2"/>
      </w:pPr>
      <w:r>
        <w:rPr>
          <w:rFonts w:ascii="Calibri" w:hAnsi="Calibri"/>
        </w:rPr>
        <w:t>Why product extraction is not the near-term plan</w:t>
      </w:r>
    </w:p>
    <w:p>
      <w:r>
        <w:rPr>
          <w:rFonts w:ascii="Calibri" w:hAnsi="Calibri"/>
        </w:rPr>
        <w:t>Hydrilla is roughly 95% water when harvested. That makes drying, milling, extracting, and packaging expensive. The energy value in anaerobic digestion is also modest per wet ton: using a conservative 5% dry solids assumption, one wet ton may only hold enough volatile solids for roughly 7-11 cubic meters of methane before process losses. At commodity energy prices, this is not enough to justify collection; it only improves a removal business that is already being paid.</w:t>
      </w:r>
    </w:p>
    <w:p>
      <w:r>
        <w:br w:type="page"/>
      </w:r>
    </w:p>
    <w:p>
      <w:pPr>
        <w:pStyle w:val="Heading1"/>
      </w:pPr>
      <w:r>
        <w:rPr>
          <w:rFonts w:ascii="Calibri" w:hAnsi="Calibri"/>
        </w:rPr>
        <w:t>Illustrative ROI Model</w:t>
      </w:r>
    </w:p>
    <w:p>
      <w:r>
        <w:rPr>
          <w:rFonts w:ascii="Calibri" w:hAnsi="Calibri"/>
        </w:rPr>
        <w:t>The model below isolates the second revenue stream. It assumes the removal business is already paid for cutting and clearing vegetation. Valorization adds margin only when customers pay for resource recovery, landfill or disposal cost is avoided, or a processor pays/discounts for clean feedstock. These are planning cases, not quotes.</w:t>
      </w:r>
    </w:p>
    <w:tbl>
      <w:tblPr>
        <w:tblStyle w:val="TableGrid"/>
        <w:tblW w:type="dxa" w:w="9360"/>
        <w:jc w:val="center"/>
        <w:tblLayout w:type="fixed"/>
        <w:tblLook w:firstColumn="1" w:firstRow="1" w:lastColumn="0" w:lastRow="0" w:noHBand="0" w:noVBand="1" w:val="04A0"/>
        <w:tblInd w:w="120" w:type="dxa"/>
      </w:tblPr>
      <w:tblGrid>
        <w:gridCol w:w="1200"/>
        <w:gridCol w:w="1150"/>
        <w:gridCol w:w="1450"/>
        <w:gridCol w:w="1450"/>
        <w:gridCol w:w="1300"/>
        <w:gridCol w:w="1450"/>
        <w:gridCol w:w="1360"/>
      </w:tblGrid>
      <w:tr>
        <w:tc>
          <w:tcPr>
            <w:tcW w:type="dxa" w:w="1200"/>
            <w:tcMar>
              <w:top w:w="80" w:type="dxa"/>
              <w:bottom w:w="80" w:type="dxa"/>
              <w:start w:w="120" w:type="dxa"/>
              <w:end w:w="120" w:type="dxa"/>
            </w:tcMar>
            <w:vAlign w:val="center"/>
            <w:shd w:fill="F2F4F7"/>
          </w:tcPr>
          <w:p>
            <w:pPr>
              <w:jc w:val="left"/>
            </w:pPr>
            <w:r/>
            <w:r>
              <w:rPr>
                <w:rFonts w:ascii="Calibri" w:hAnsi="Calibri"/>
                <w:b/>
                <w:color w:val="1F4D78"/>
                <w:sz w:val="14"/>
              </w:rPr>
              <w:t>Scenario</w:t>
            </w:r>
          </w:p>
        </w:tc>
        <w:tc>
          <w:tcPr>
            <w:tcW w:type="dxa" w:w="1150"/>
            <w:tcMar>
              <w:top w:w="80" w:type="dxa"/>
              <w:bottom w:w="80" w:type="dxa"/>
              <w:start w:w="120" w:type="dxa"/>
              <w:end w:w="120" w:type="dxa"/>
            </w:tcMar>
            <w:vAlign w:val="center"/>
            <w:shd w:fill="F2F4F7"/>
          </w:tcPr>
          <w:p>
            <w:pPr>
              <w:jc w:val="left"/>
            </w:pPr>
            <w:r/>
            <w:r>
              <w:rPr>
                <w:rFonts w:ascii="Calibri" w:hAnsi="Calibri"/>
                <w:b/>
                <w:color w:val="1F4D78"/>
                <w:sz w:val="14"/>
              </w:rPr>
              <w:t>Wet tons/year</w:t>
            </w:r>
          </w:p>
        </w:tc>
        <w:tc>
          <w:tcPr>
            <w:tcW w:type="dxa" w:w="1450"/>
            <w:tcMar>
              <w:top w:w="80" w:type="dxa"/>
              <w:bottom w:w="80" w:type="dxa"/>
              <w:start w:w="120" w:type="dxa"/>
              <w:end w:w="120" w:type="dxa"/>
            </w:tcMar>
            <w:vAlign w:val="center"/>
            <w:shd w:fill="F2F4F7"/>
          </w:tcPr>
          <w:p>
            <w:pPr>
              <w:jc w:val="left"/>
            </w:pPr>
            <w:r/>
            <w:r>
              <w:rPr>
                <w:rFonts w:ascii="Calibri" w:hAnsi="Calibri"/>
                <w:b/>
                <w:color w:val="1F4D78"/>
                <w:sz w:val="14"/>
              </w:rPr>
              <w:t>Value captured/wet ton</w:t>
            </w:r>
          </w:p>
        </w:tc>
        <w:tc>
          <w:tcPr>
            <w:tcW w:type="dxa" w:w="1450"/>
            <w:tcMar>
              <w:top w:w="80" w:type="dxa"/>
              <w:bottom w:w="80" w:type="dxa"/>
              <w:start w:w="120" w:type="dxa"/>
              <w:end w:w="120" w:type="dxa"/>
            </w:tcMar>
            <w:vAlign w:val="center"/>
            <w:shd w:fill="F2F4F7"/>
          </w:tcPr>
          <w:p>
            <w:pPr>
              <w:jc w:val="left"/>
            </w:pPr>
            <w:r/>
            <w:r>
              <w:rPr>
                <w:rFonts w:ascii="Calibri" w:hAnsi="Calibri"/>
                <w:b/>
                <w:color w:val="1F4D78"/>
                <w:sz w:val="14"/>
              </w:rPr>
              <w:t>Variable cost/wet ton</w:t>
            </w:r>
          </w:p>
        </w:tc>
        <w:tc>
          <w:tcPr>
            <w:tcW w:type="dxa" w:w="1300"/>
            <w:tcMar>
              <w:top w:w="80" w:type="dxa"/>
              <w:bottom w:w="80" w:type="dxa"/>
              <w:start w:w="120" w:type="dxa"/>
              <w:end w:w="120" w:type="dxa"/>
            </w:tcMar>
            <w:vAlign w:val="center"/>
            <w:shd w:fill="F2F4F7"/>
          </w:tcPr>
          <w:p>
            <w:pPr>
              <w:jc w:val="left"/>
            </w:pPr>
            <w:r/>
            <w:r>
              <w:rPr>
                <w:rFonts w:ascii="Calibri" w:hAnsi="Calibri"/>
                <w:b/>
                <w:color w:val="1F4D78"/>
                <w:sz w:val="14"/>
              </w:rPr>
              <w:t>Fixed setup</w:t>
            </w:r>
          </w:p>
        </w:tc>
        <w:tc>
          <w:tcPr>
            <w:tcW w:type="dxa" w:w="1450"/>
            <w:tcMar>
              <w:top w:w="80" w:type="dxa"/>
              <w:bottom w:w="80" w:type="dxa"/>
              <w:start w:w="120" w:type="dxa"/>
              <w:end w:w="120" w:type="dxa"/>
            </w:tcMar>
            <w:vAlign w:val="center"/>
            <w:shd w:fill="F2F4F7"/>
          </w:tcPr>
          <w:p>
            <w:pPr>
              <w:jc w:val="left"/>
            </w:pPr>
            <w:r/>
            <w:r>
              <w:rPr>
                <w:rFonts w:ascii="Calibri" w:hAnsi="Calibri"/>
                <w:b/>
                <w:color w:val="1F4D78"/>
                <w:sz w:val="14"/>
              </w:rPr>
              <w:t>Year-1 incremental profit</w:t>
            </w:r>
          </w:p>
        </w:tc>
        <w:tc>
          <w:tcPr>
            <w:tcW w:type="dxa" w:w="1360"/>
            <w:tcMar>
              <w:top w:w="80" w:type="dxa"/>
              <w:bottom w:w="80" w:type="dxa"/>
              <w:start w:w="120" w:type="dxa"/>
              <w:end w:w="120" w:type="dxa"/>
            </w:tcMar>
            <w:vAlign w:val="center"/>
            <w:shd w:fill="F2F4F7"/>
          </w:tcPr>
          <w:p>
            <w:pPr>
              <w:jc w:val="left"/>
            </w:pPr>
            <w:r/>
            <w:r>
              <w:rPr>
                <w:rFonts w:ascii="Calibri" w:hAnsi="Calibri"/>
                <w:b/>
                <w:color w:val="1F4D78"/>
                <w:sz w:val="14"/>
              </w:rPr>
              <w:t>Year-2 run-rate</w:t>
            </w:r>
          </w:p>
        </w:tc>
      </w:tr>
      <w:tr>
        <w:tc>
          <w:tcPr>
            <w:tcW w:type="dxa" w:w="1200"/>
            <w:vAlign w:val="center"/>
          </w:tcPr>
          <w:p>
            <w:pPr>
              <w:jc w:val="left"/>
            </w:pPr>
            <w:r/>
            <w:r>
              <w:rPr>
                <w:rFonts w:ascii="Calibri" w:hAnsi="Calibri"/>
                <w:b w:val="0"/>
                <w:color w:val="111111"/>
                <w:sz w:val="14"/>
              </w:rPr>
              <w:t>Pilot</w:t>
            </w:r>
          </w:p>
        </w:tc>
        <w:tc>
          <w:tcPr>
            <w:tcW w:type="dxa" w:w="1150"/>
            <w:vAlign w:val="center"/>
          </w:tcPr>
          <w:p>
            <w:pPr>
              <w:jc w:val="left"/>
            </w:pPr>
            <w:r/>
            <w:r>
              <w:rPr>
                <w:rFonts w:ascii="Calibri" w:hAnsi="Calibri"/>
                <w:b w:val="0"/>
                <w:color w:val="111111"/>
                <w:sz w:val="14"/>
              </w:rPr>
              <w:t>300</w:t>
            </w:r>
          </w:p>
        </w:tc>
        <w:tc>
          <w:tcPr>
            <w:tcW w:type="dxa" w:w="1450"/>
            <w:vAlign w:val="center"/>
          </w:tcPr>
          <w:p>
            <w:pPr>
              <w:jc w:val="left"/>
            </w:pPr>
            <w:r/>
            <w:r>
              <w:rPr>
                <w:rFonts w:ascii="Calibri" w:hAnsi="Calibri"/>
                <w:b w:val="0"/>
                <w:color w:val="111111"/>
                <w:sz w:val="14"/>
              </w:rPr>
              <w:t>$35</w:t>
            </w:r>
          </w:p>
        </w:tc>
        <w:tc>
          <w:tcPr>
            <w:tcW w:type="dxa" w:w="1450"/>
            <w:vAlign w:val="center"/>
          </w:tcPr>
          <w:p>
            <w:pPr>
              <w:jc w:val="left"/>
            </w:pPr>
            <w:r/>
            <w:r>
              <w:rPr>
                <w:rFonts w:ascii="Calibri" w:hAnsi="Calibri"/>
                <w:b w:val="0"/>
                <w:color w:val="111111"/>
                <w:sz w:val="14"/>
              </w:rPr>
              <w:t>$25</w:t>
            </w:r>
          </w:p>
        </w:tc>
        <w:tc>
          <w:tcPr>
            <w:tcW w:type="dxa" w:w="1300"/>
            <w:vAlign w:val="center"/>
          </w:tcPr>
          <w:p>
            <w:pPr>
              <w:jc w:val="left"/>
            </w:pPr>
            <w:r/>
            <w:r>
              <w:rPr>
                <w:rFonts w:ascii="Calibri" w:hAnsi="Calibri"/>
                <w:b w:val="0"/>
                <w:color w:val="111111"/>
                <w:sz w:val="14"/>
              </w:rPr>
              <w:t>$18k</w:t>
            </w:r>
          </w:p>
        </w:tc>
        <w:tc>
          <w:tcPr>
            <w:tcW w:type="dxa" w:w="1450"/>
            <w:vAlign w:val="center"/>
          </w:tcPr>
          <w:p>
            <w:pPr>
              <w:jc w:val="left"/>
            </w:pPr>
            <w:r/>
            <w:r>
              <w:rPr>
                <w:rFonts w:ascii="Calibri" w:hAnsi="Calibri"/>
                <w:b w:val="0"/>
                <w:color w:val="111111"/>
                <w:sz w:val="14"/>
              </w:rPr>
              <w:t>-$15k</w:t>
            </w:r>
          </w:p>
        </w:tc>
        <w:tc>
          <w:tcPr>
            <w:tcW w:type="dxa" w:w="1360"/>
            <w:vAlign w:val="center"/>
          </w:tcPr>
          <w:p>
            <w:pPr>
              <w:jc w:val="left"/>
            </w:pPr>
            <w:r/>
            <w:r>
              <w:rPr>
                <w:rFonts w:ascii="Calibri" w:hAnsi="Calibri"/>
                <w:b w:val="0"/>
                <w:color w:val="111111"/>
                <w:sz w:val="14"/>
              </w:rPr>
              <w:t>$3k</w:t>
            </w:r>
          </w:p>
        </w:tc>
      </w:tr>
      <w:tr>
        <w:tc>
          <w:tcPr>
            <w:tcW w:type="dxa" w:w="1200"/>
            <w:vAlign w:val="center"/>
          </w:tcPr>
          <w:p>
            <w:pPr>
              <w:jc w:val="left"/>
            </w:pPr>
            <w:r/>
            <w:r>
              <w:rPr>
                <w:rFonts w:ascii="Calibri" w:hAnsi="Calibri"/>
                <w:b w:val="0"/>
                <w:color w:val="111111"/>
                <w:sz w:val="14"/>
              </w:rPr>
              <w:t>Base</w:t>
            </w:r>
          </w:p>
        </w:tc>
        <w:tc>
          <w:tcPr>
            <w:tcW w:type="dxa" w:w="1150"/>
            <w:vAlign w:val="center"/>
          </w:tcPr>
          <w:p>
            <w:pPr>
              <w:jc w:val="left"/>
            </w:pPr>
            <w:r/>
            <w:r>
              <w:rPr>
                <w:rFonts w:ascii="Calibri" w:hAnsi="Calibri"/>
                <w:b w:val="0"/>
                <w:color w:val="111111"/>
                <w:sz w:val="14"/>
              </w:rPr>
              <w:t>1,000</w:t>
            </w:r>
          </w:p>
        </w:tc>
        <w:tc>
          <w:tcPr>
            <w:tcW w:type="dxa" w:w="1450"/>
            <w:vAlign w:val="center"/>
          </w:tcPr>
          <w:p>
            <w:pPr>
              <w:jc w:val="left"/>
            </w:pPr>
            <w:r/>
            <w:r>
              <w:rPr>
                <w:rFonts w:ascii="Calibri" w:hAnsi="Calibri"/>
                <w:b w:val="0"/>
                <w:color w:val="111111"/>
                <w:sz w:val="14"/>
              </w:rPr>
              <w:t>$60</w:t>
            </w:r>
          </w:p>
        </w:tc>
        <w:tc>
          <w:tcPr>
            <w:tcW w:type="dxa" w:w="1450"/>
            <w:vAlign w:val="center"/>
          </w:tcPr>
          <w:p>
            <w:pPr>
              <w:jc w:val="left"/>
            </w:pPr>
            <w:r/>
            <w:r>
              <w:rPr>
                <w:rFonts w:ascii="Calibri" w:hAnsi="Calibri"/>
                <w:b w:val="0"/>
                <w:color w:val="111111"/>
                <w:sz w:val="14"/>
              </w:rPr>
              <w:t>$28</w:t>
            </w:r>
          </w:p>
        </w:tc>
        <w:tc>
          <w:tcPr>
            <w:tcW w:type="dxa" w:w="1300"/>
            <w:vAlign w:val="center"/>
          </w:tcPr>
          <w:p>
            <w:pPr>
              <w:jc w:val="left"/>
            </w:pPr>
            <w:r/>
            <w:r>
              <w:rPr>
                <w:rFonts w:ascii="Calibri" w:hAnsi="Calibri"/>
                <w:b w:val="0"/>
                <w:color w:val="111111"/>
                <w:sz w:val="14"/>
              </w:rPr>
              <w:t>$30k</w:t>
            </w:r>
          </w:p>
        </w:tc>
        <w:tc>
          <w:tcPr>
            <w:tcW w:type="dxa" w:w="1450"/>
            <w:vAlign w:val="center"/>
          </w:tcPr>
          <w:p>
            <w:pPr>
              <w:jc w:val="left"/>
            </w:pPr>
            <w:r/>
            <w:r>
              <w:rPr>
                <w:rFonts w:ascii="Calibri" w:hAnsi="Calibri"/>
                <w:b w:val="0"/>
                <w:color w:val="111111"/>
                <w:sz w:val="14"/>
              </w:rPr>
              <w:t>$2k</w:t>
            </w:r>
          </w:p>
        </w:tc>
        <w:tc>
          <w:tcPr>
            <w:tcW w:type="dxa" w:w="1360"/>
            <w:vAlign w:val="center"/>
          </w:tcPr>
          <w:p>
            <w:pPr>
              <w:jc w:val="left"/>
            </w:pPr>
            <w:r/>
            <w:r>
              <w:rPr>
                <w:rFonts w:ascii="Calibri" w:hAnsi="Calibri"/>
                <w:b w:val="0"/>
                <w:color w:val="111111"/>
                <w:sz w:val="14"/>
              </w:rPr>
              <w:t>$32k</w:t>
            </w:r>
          </w:p>
        </w:tc>
      </w:tr>
      <w:tr>
        <w:tc>
          <w:tcPr>
            <w:tcW w:type="dxa" w:w="1200"/>
            <w:vAlign w:val="center"/>
          </w:tcPr>
          <w:p>
            <w:pPr>
              <w:jc w:val="left"/>
            </w:pPr>
            <w:r/>
            <w:r>
              <w:rPr>
                <w:rFonts w:ascii="Calibri" w:hAnsi="Calibri"/>
                <w:b w:val="0"/>
                <w:color w:val="111111"/>
                <w:sz w:val="14"/>
              </w:rPr>
              <w:t>Strong</w:t>
            </w:r>
          </w:p>
        </w:tc>
        <w:tc>
          <w:tcPr>
            <w:tcW w:type="dxa" w:w="1150"/>
            <w:vAlign w:val="center"/>
          </w:tcPr>
          <w:p>
            <w:pPr>
              <w:jc w:val="left"/>
            </w:pPr>
            <w:r/>
            <w:r>
              <w:rPr>
                <w:rFonts w:ascii="Calibri" w:hAnsi="Calibri"/>
                <w:b w:val="0"/>
                <w:color w:val="111111"/>
                <w:sz w:val="14"/>
              </w:rPr>
              <w:t>2,500</w:t>
            </w:r>
          </w:p>
        </w:tc>
        <w:tc>
          <w:tcPr>
            <w:tcW w:type="dxa" w:w="1450"/>
            <w:vAlign w:val="center"/>
          </w:tcPr>
          <w:p>
            <w:pPr>
              <w:jc w:val="left"/>
            </w:pPr>
            <w:r/>
            <w:r>
              <w:rPr>
                <w:rFonts w:ascii="Calibri" w:hAnsi="Calibri"/>
                <w:b w:val="0"/>
                <w:color w:val="111111"/>
                <w:sz w:val="14"/>
              </w:rPr>
              <w:t>$85</w:t>
            </w:r>
          </w:p>
        </w:tc>
        <w:tc>
          <w:tcPr>
            <w:tcW w:type="dxa" w:w="1450"/>
            <w:vAlign w:val="center"/>
          </w:tcPr>
          <w:p>
            <w:pPr>
              <w:jc w:val="left"/>
            </w:pPr>
            <w:r/>
            <w:r>
              <w:rPr>
                <w:rFonts w:ascii="Calibri" w:hAnsi="Calibri"/>
                <w:b w:val="0"/>
                <w:color w:val="111111"/>
                <w:sz w:val="14"/>
              </w:rPr>
              <w:t>$32</w:t>
            </w:r>
          </w:p>
        </w:tc>
        <w:tc>
          <w:tcPr>
            <w:tcW w:type="dxa" w:w="1300"/>
            <w:vAlign w:val="center"/>
          </w:tcPr>
          <w:p>
            <w:pPr>
              <w:jc w:val="left"/>
            </w:pPr>
            <w:r/>
            <w:r>
              <w:rPr>
                <w:rFonts w:ascii="Calibri" w:hAnsi="Calibri"/>
                <w:b w:val="0"/>
                <w:color w:val="111111"/>
                <w:sz w:val="14"/>
              </w:rPr>
              <w:t>$65k</w:t>
            </w:r>
          </w:p>
        </w:tc>
        <w:tc>
          <w:tcPr>
            <w:tcW w:type="dxa" w:w="1450"/>
            <w:vAlign w:val="center"/>
          </w:tcPr>
          <w:p>
            <w:pPr>
              <w:jc w:val="left"/>
            </w:pPr>
            <w:r/>
            <w:r>
              <w:rPr>
                <w:rFonts w:ascii="Calibri" w:hAnsi="Calibri"/>
                <w:b w:val="0"/>
                <w:color w:val="111111"/>
                <w:sz w:val="14"/>
              </w:rPr>
              <w:t>$67.5k</w:t>
            </w:r>
          </w:p>
        </w:tc>
        <w:tc>
          <w:tcPr>
            <w:tcW w:type="dxa" w:w="1360"/>
            <w:vAlign w:val="center"/>
          </w:tcPr>
          <w:p>
            <w:pPr>
              <w:jc w:val="left"/>
            </w:pPr>
            <w:r/>
            <w:r>
              <w:rPr>
                <w:rFonts w:ascii="Calibri" w:hAnsi="Calibri"/>
                <w:b w:val="0"/>
                <w:color w:val="111111"/>
                <w:sz w:val="14"/>
              </w:rPr>
              <w:t>$132.5k</w:t>
            </w:r>
          </w:p>
        </w:tc>
      </w:tr>
    </w:tbl>
    <w:p>
      <w:pPr>
        <w:pStyle w:val="Heading2"/>
      </w:pPr>
      <w:r>
        <w:rPr>
          <w:rFonts w:ascii="Calibri" w:hAnsi="Calibri"/>
        </w:rPr>
        <w:t>Calculation example</w:t>
      </w:r>
    </w:p>
    <w:p>
      <w:r>
        <w:rPr>
          <w:rFonts w:ascii="Calibri" w:hAnsi="Calibri"/>
        </w:rPr>
        <w:t>Base case: 1,000 wet tons x ($60 value captured - $28 variable handling cost) = $32,000 contribution. Subtract $30,000 of first-year setup and testing, and year-one incremental profit is approximately $2,000. In year two, if the same route is repeatable and setup costs do not recur, the run-rate contribution is about $32,000. The strong case reaches more than $67,000 in first-year incremental profit because tonnage spreads fixed costs and customers pay for documented resource recovery.</w:t>
      </w:r>
    </w:p>
    <w:tbl>
      <w:tblPr>
        <w:tblStyle w:val="TableGrid"/>
        <w:tblW w:type="dxa" w:w="9360"/>
        <w:jc w:val="center"/>
        <w:tblLayout w:type="fixed"/>
        <w:tblLook w:firstColumn="1" w:firstRow="1" w:lastColumn="0" w:lastRow="0" w:noHBand="0" w:noVBand="1" w:val="04A0"/>
        <w:tblInd w:w="120" w:type="dxa"/>
      </w:tblPr>
      <w:tblGrid>
        <w:gridCol w:w="3600"/>
        <w:gridCol w:w="1920"/>
        <w:gridCol w:w="1920"/>
        <w:gridCol w:w="1920"/>
      </w:tblGrid>
      <w:tr>
        <w:tc>
          <w:tcPr>
            <w:tcW w:type="dxa" w:w="3600"/>
            <w:tcMar>
              <w:top w:w="80" w:type="dxa"/>
              <w:bottom w:w="80" w:type="dxa"/>
              <w:start w:w="120" w:type="dxa"/>
              <w:end w:w="120" w:type="dxa"/>
            </w:tcMar>
            <w:vAlign w:val="center"/>
            <w:shd w:fill="F2F4F7"/>
          </w:tcPr>
          <w:p>
            <w:pPr>
              <w:jc w:val="left"/>
            </w:pPr>
            <w:r/>
            <w:r>
              <w:rPr>
                <w:rFonts w:ascii="Calibri" w:hAnsi="Calibri"/>
                <w:b/>
                <w:color w:val="1F4D78"/>
                <w:sz w:val="15"/>
              </w:rPr>
              <w:t>Value component</w:t>
            </w:r>
          </w:p>
        </w:tc>
        <w:tc>
          <w:tcPr>
            <w:tcW w:type="dxa" w:w="1920"/>
            <w:tcMar>
              <w:top w:w="80" w:type="dxa"/>
              <w:bottom w:w="80" w:type="dxa"/>
              <w:start w:w="120" w:type="dxa"/>
              <w:end w:w="120" w:type="dxa"/>
            </w:tcMar>
            <w:vAlign w:val="center"/>
            <w:shd w:fill="F2F4F7"/>
          </w:tcPr>
          <w:p>
            <w:pPr>
              <w:jc w:val="left"/>
            </w:pPr>
            <w:r/>
            <w:r>
              <w:rPr>
                <w:rFonts w:ascii="Calibri" w:hAnsi="Calibri"/>
                <w:b/>
                <w:color w:val="1F4D78"/>
                <w:sz w:val="15"/>
              </w:rPr>
              <w:t>Pilot</w:t>
            </w:r>
          </w:p>
        </w:tc>
        <w:tc>
          <w:tcPr>
            <w:tcW w:type="dxa" w:w="1920"/>
            <w:tcMar>
              <w:top w:w="80" w:type="dxa"/>
              <w:bottom w:w="80" w:type="dxa"/>
              <w:start w:w="120" w:type="dxa"/>
              <w:end w:w="120" w:type="dxa"/>
            </w:tcMar>
            <w:vAlign w:val="center"/>
            <w:shd w:fill="F2F4F7"/>
          </w:tcPr>
          <w:p>
            <w:pPr>
              <w:jc w:val="left"/>
            </w:pPr>
            <w:r/>
            <w:r>
              <w:rPr>
                <w:rFonts w:ascii="Calibri" w:hAnsi="Calibri"/>
                <w:b/>
                <w:color w:val="1F4D78"/>
                <w:sz w:val="15"/>
              </w:rPr>
              <w:t>Base</w:t>
            </w:r>
          </w:p>
        </w:tc>
        <w:tc>
          <w:tcPr>
            <w:tcW w:type="dxa" w:w="1920"/>
            <w:tcMar>
              <w:top w:w="80" w:type="dxa"/>
              <w:bottom w:w="80" w:type="dxa"/>
              <w:start w:w="120" w:type="dxa"/>
              <w:end w:w="120" w:type="dxa"/>
            </w:tcMar>
            <w:vAlign w:val="center"/>
            <w:shd w:fill="F2F4F7"/>
          </w:tcPr>
          <w:p>
            <w:pPr>
              <w:jc w:val="left"/>
            </w:pPr>
            <w:r/>
            <w:r>
              <w:rPr>
                <w:rFonts w:ascii="Calibri" w:hAnsi="Calibri"/>
                <w:b/>
                <w:color w:val="1F4D78"/>
                <w:sz w:val="15"/>
              </w:rPr>
              <w:t>Strong</w:t>
            </w:r>
          </w:p>
        </w:tc>
      </w:tr>
      <w:tr>
        <w:tc>
          <w:tcPr>
            <w:tcW w:type="dxa" w:w="3600"/>
            <w:vAlign w:val="center"/>
          </w:tcPr>
          <w:p>
            <w:pPr>
              <w:jc w:val="left"/>
            </w:pPr>
            <w:r/>
            <w:r>
              <w:rPr>
                <w:rFonts w:ascii="Calibri" w:hAnsi="Calibri"/>
                <w:b w:val="0"/>
                <w:color w:val="111111"/>
                <w:sz w:val="15"/>
              </w:rPr>
              <w:t>Avoided disposal vs landfill/uncertain waste route</w:t>
            </w:r>
          </w:p>
        </w:tc>
        <w:tc>
          <w:tcPr>
            <w:tcW w:type="dxa" w:w="1920"/>
            <w:vAlign w:val="center"/>
          </w:tcPr>
          <w:p>
            <w:pPr>
              <w:jc w:val="left"/>
            </w:pPr>
            <w:r/>
            <w:r>
              <w:rPr>
                <w:rFonts w:ascii="Calibri" w:hAnsi="Calibri"/>
                <w:b w:val="0"/>
                <w:color w:val="111111"/>
                <w:sz w:val="15"/>
              </w:rPr>
              <w:t>$10/t</w:t>
            </w:r>
          </w:p>
        </w:tc>
        <w:tc>
          <w:tcPr>
            <w:tcW w:type="dxa" w:w="1920"/>
            <w:vAlign w:val="center"/>
          </w:tcPr>
          <w:p>
            <w:pPr>
              <w:jc w:val="left"/>
            </w:pPr>
            <w:r/>
            <w:r>
              <w:rPr>
                <w:rFonts w:ascii="Calibri" w:hAnsi="Calibri"/>
                <w:b w:val="0"/>
                <w:color w:val="111111"/>
                <w:sz w:val="15"/>
              </w:rPr>
              <w:t>$25/t</w:t>
            </w:r>
          </w:p>
        </w:tc>
        <w:tc>
          <w:tcPr>
            <w:tcW w:type="dxa" w:w="1920"/>
            <w:vAlign w:val="center"/>
          </w:tcPr>
          <w:p>
            <w:pPr>
              <w:jc w:val="left"/>
            </w:pPr>
            <w:r/>
            <w:r>
              <w:rPr>
                <w:rFonts w:ascii="Calibri" w:hAnsi="Calibri"/>
                <w:b w:val="0"/>
                <w:color w:val="111111"/>
                <w:sz w:val="15"/>
              </w:rPr>
              <w:t>$35/t</w:t>
            </w:r>
          </w:p>
        </w:tc>
      </w:tr>
      <w:tr>
        <w:tc>
          <w:tcPr>
            <w:tcW w:type="dxa" w:w="3600"/>
            <w:vAlign w:val="center"/>
          </w:tcPr>
          <w:p>
            <w:pPr>
              <w:jc w:val="left"/>
            </w:pPr>
            <w:r/>
            <w:r>
              <w:rPr>
                <w:rFonts w:ascii="Calibri" w:hAnsi="Calibri"/>
                <w:b w:val="0"/>
                <w:color w:val="111111"/>
                <w:sz w:val="15"/>
              </w:rPr>
              <w:t>Customer resource-recovery fee</w:t>
            </w:r>
          </w:p>
        </w:tc>
        <w:tc>
          <w:tcPr>
            <w:tcW w:type="dxa" w:w="1920"/>
            <w:vAlign w:val="center"/>
          </w:tcPr>
          <w:p>
            <w:pPr>
              <w:jc w:val="left"/>
            </w:pPr>
            <w:r/>
            <w:r>
              <w:rPr>
                <w:rFonts w:ascii="Calibri" w:hAnsi="Calibri"/>
                <w:b w:val="0"/>
                <w:color w:val="111111"/>
                <w:sz w:val="15"/>
              </w:rPr>
              <w:t>$20/t</w:t>
            </w:r>
          </w:p>
        </w:tc>
        <w:tc>
          <w:tcPr>
            <w:tcW w:type="dxa" w:w="1920"/>
            <w:vAlign w:val="center"/>
          </w:tcPr>
          <w:p>
            <w:pPr>
              <w:jc w:val="left"/>
            </w:pPr>
            <w:r/>
            <w:r>
              <w:rPr>
                <w:rFonts w:ascii="Calibri" w:hAnsi="Calibri"/>
                <w:b w:val="0"/>
                <w:color w:val="111111"/>
                <w:sz w:val="15"/>
              </w:rPr>
              <w:t>$30/t</w:t>
            </w:r>
          </w:p>
        </w:tc>
        <w:tc>
          <w:tcPr>
            <w:tcW w:type="dxa" w:w="1920"/>
            <w:vAlign w:val="center"/>
          </w:tcPr>
          <w:p>
            <w:pPr>
              <w:jc w:val="left"/>
            </w:pPr>
            <w:r/>
            <w:r>
              <w:rPr>
                <w:rFonts w:ascii="Calibri" w:hAnsi="Calibri"/>
                <w:b w:val="0"/>
                <w:color w:val="111111"/>
                <w:sz w:val="15"/>
              </w:rPr>
              <w:t>$40/t</w:t>
            </w:r>
          </w:p>
        </w:tc>
      </w:tr>
      <w:tr>
        <w:tc>
          <w:tcPr>
            <w:tcW w:type="dxa" w:w="3600"/>
            <w:vAlign w:val="center"/>
          </w:tcPr>
          <w:p>
            <w:pPr>
              <w:jc w:val="left"/>
            </w:pPr>
            <w:r/>
            <w:r>
              <w:rPr>
                <w:rFonts w:ascii="Calibri" w:hAnsi="Calibri"/>
                <w:b w:val="0"/>
                <w:color w:val="111111"/>
                <w:sz w:val="15"/>
              </w:rPr>
              <w:t>Processor/product credit</w:t>
            </w:r>
          </w:p>
        </w:tc>
        <w:tc>
          <w:tcPr>
            <w:tcW w:type="dxa" w:w="1920"/>
            <w:vAlign w:val="center"/>
          </w:tcPr>
          <w:p>
            <w:pPr>
              <w:jc w:val="left"/>
            </w:pPr>
            <w:r/>
            <w:r>
              <w:rPr>
                <w:rFonts w:ascii="Calibri" w:hAnsi="Calibri"/>
                <w:b w:val="0"/>
                <w:color w:val="111111"/>
                <w:sz w:val="15"/>
              </w:rPr>
              <w:t>$5/t</w:t>
            </w:r>
          </w:p>
        </w:tc>
        <w:tc>
          <w:tcPr>
            <w:tcW w:type="dxa" w:w="1920"/>
            <w:vAlign w:val="center"/>
          </w:tcPr>
          <w:p>
            <w:pPr>
              <w:jc w:val="left"/>
            </w:pPr>
            <w:r/>
            <w:r>
              <w:rPr>
                <w:rFonts w:ascii="Calibri" w:hAnsi="Calibri"/>
                <w:b w:val="0"/>
                <w:color w:val="111111"/>
                <w:sz w:val="15"/>
              </w:rPr>
              <w:t>$5/t</w:t>
            </w:r>
          </w:p>
        </w:tc>
        <w:tc>
          <w:tcPr>
            <w:tcW w:type="dxa" w:w="1920"/>
            <w:vAlign w:val="center"/>
          </w:tcPr>
          <w:p>
            <w:pPr>
              <w:jc w:val="left"/>
            </w:pPr>
            <w:r/>
            <w:r>
              <w:rPr>
                <w:rFonts w:ascii="Calibri" w:hAnsi="Calibri"/>
                <w:b w:val="0"/>
                <w:color w:val="111111"/>
                <w:sz w:val="15"/>
              </w:rPr>
              <w:t>$10/t</w:t>
            </w:r>
          </w:p>
        </w:tc>
      </w:tr>
      <w:tr>
        <w:tc>
          <w:tcPr>
            <w:tcW w:type="dxa" w:w="3600"/>
            <w:vAlign w:val="center"/>
          </w:tcPr>
          <w:p>
            <w:pPr>
              <w:jc w:val="left"/>
            </w:pPr>
            <w:r/>
            <w:r>
              <w:rPr>
                <w:rFonts w:ascii="Calibri" w:hAnsi="Calibri"/>
                <w:b w:val="0"/>
                <w:color w:val="111111"/>
                <w:sz w:val="15"/>
              </w:rPr>
              <w:t>Gross value captured</w:t>
            </w:r>
          </w:p>
        </w:tc>
        <w:tc>
          <w:tcPr>
            <w:tcW w:type="dxa" w:w="1920"/>
            <w:vAlign w:val="center"/>
          </w:tcPr>
          <w:p>
            <w:pPr>
              <w:jc w:val="left"/>
            </w:pPr>
            <w:r/>
            <w:r>
              <w:rPr>
                <w:rFonts w:ascii="Calibri" w:hAnsi="Calibri"/>
                <w:b w:val="0"/>
                <w:color w:val="111111"/>
                <w:sz w:val="15"/>
              </w:rPr>
              <w:t>$35/t</w:t>
            </w:r>
          </w:p>
        </w:tc>
        <w:tc>
          <w:tcPr>
            <w:tcW w:type="dxa" w:w="1920"/>
            <w:vAlign w:val="center"/>
          </w:tcPr>
          <w:p>
            <w:pPr>
              <w:jc w:val="left"/>
            </w:pPr>
            <w:r/>
            <w:r>
              <w:rPr>
                <w:rFonts w:ascii="Calibri" w:hAnsi="Calibri"/>
                <w:b w:val="0"/>
                <w:color w:val="111111"/>
                <w:sz w:val="15"/>
              </w:rPr>
              <w:t>$60/t</w:t>
            </w:r>
          </w:p>
        </w:tc>
        <w:tc>
          <w:tcPr>
            <w:tcW w:type="dxa" w:w="1920"/>
            <w:vAlign w:val="center"/>
          </w:tcPr>
          <w:p>
            <w:pPr>
              <w:jc w:val="left"/>
            </w:pPr>
            <w:r/>
            <w:r>
              <w:rPr>
                <w:rFonts w:ascii="Calibri" w:hAnsi="Calibri"/>
                <w:b w:val="0"/>
                <w:color w:val="111111"/>
                <w:sz w:val="15"/>
              </w:rPr>
              <w:t>$85/t</w:t>
            </w:r>
          </w:p>
        </w:tc>
      </w:tr>
    </w:tbl>
    <w:p>
      <w:pPr>
        <w:pStyle w:val="Heading2"/>
      </w:pPr>
      <w:r>
        <w:rPr>
          <w:rFonts w:ascii="Calibri" w:hAnsi="Calibri"/>
        </w:rPr>
        <w:t>Combined business effect</w:t>
      </w:r>
    </w:p>
    <w:p>
      <w:r>
        <w:rPr>
          <w:rFonts w:ascii="Calibri" w:hAnsi="Calibri"/>
        </w:rPr>
        <w:t>The main removal business still drives the economics. If 1,000 wet tons corresponds to roughly 100-140 customer jobs and $300k-$450k in removal revenue, a 35%-45% removal gross margin produces $105k-$200k of gross profit before valorization. The base valorization case adds about $32k of annual run-rate contribution, or roughly 7-11 percentage points of gross profit on a $300k-$450k removal business. This is meaningful, but it is not enough to carry the company without paid removal demand.</w:t>
      </w:r>
    </w:p>
    <w:p>
      <w:r>
        <w:rPr>
          <w:rFonts w:ascii="Calibri" w:hAnsi="Calibri"/>
        </w:rPr>
        <w:t>Sensitivity: hauling distance and water content dominate margin. A $15/wet ton increase in transport/processing cost wipes out almost half of the base-case contribution. Conversely, a $20/wet ton recovery fee paid by HOAs, marinas, or municipalities can turn a break-even disposal pathway into a profit center.</w:t>
      </w:r>
    </w:p>
    <w:p>
      <w:r>
        <w:br w:type="page"/>
      </w:r>
    </w:p>
    <w:p>
      <w:pPr>
        <w:pStyle w:val="Heading1"/>
      </w:pPr>
      <w:r>
        <w:rPr>
          <w:rFonts w:ascii="Calibri" w:hAnsi="Calibri"/>
        </w:rPr>
        <w:t>Partner-Ready Plan</w:t>
      </w:r>
    </w:p>
    <w:p>
      <w:pPr>
        <w:pStyle w:val="Heading2"/>
      </w:pPr>
      <w:r>
        <w:rPr>
          <w:rFonts w:ascii="Calibri" w:hAnsi="Calibri"/>
        </w:rPr>
        <w:t>Decision</w:t>
      </w:r>
    </w:p>
    <w:p>
      <w:r>
        <w:rPr>
          <w:rFonts w:ascii="Calibri" w:hAnsi="Calibri"/>
        </w:rPr>
        <w:t>Build the second revenue stream as a disciplined pilot attached to the existing removal wedge. The right partner ask is not 'buy our lake weeds.' It is 'help us convert a recurring regulated waste stream into a tested local soil, compost, or digestion feedstock while documenting nutrient removal and avoiding landfill.'</w:t>
      </w:r>
    </w:p>
    <w:p>
      <w:pPr>
        <w:pStyle w:val="Heading2"/>
      </w:pPr>
      <w:r>
        <w:rPr>
          <w:rFonts w:ascii="Calibri" w:hAnsi="Calibri"/>
        </w:rPr>
        <w:t>90-day pilot</w:t>
      </w:r>
    </w:p>
    <w:p>
      <w:pPr>
        <w:pStyle w:val="ListBullet"/>
        <w:spacing w:after="52"/>
        <w:ind w:left="346" w:hanging="173"/>
      </w:pPr>
      <w:r>
        <w:rPr>
          <w:rFonts w:ascii="Calibri" w:hAnsi="Calibri"/>
          <w:sz w:val="18"/>
        </w:rPr>
        <w:t>Secure written regulatory guidance for collection, transport, and reuse of Hydrilla-dominant biomass.</w:t>
      </w:r>
    </w:p>
    <w:p>
      <w:pPr>
        <w:pStyle w:val="ListBullet"/>
        <w:spacing w:after="52"/>
        <w:ind w:left="346" w:hanging="173"/>
      </w:pPr>
      <w:r>
        <w:rPr>
          <w:rFonts w:ascii="Calibri" w:hAnsi="Calibri"/>
          <w:sz w:val="18"/>
        </w:rPr>
        <w:t>Sign one processor MOU with a composter or digester and one backup disposal route.</w:t>
      </w:r>
    </w:p>
    <w:p>
      <w:pPr>
        <w:pStyle w:val="ListBullet"/>
        <w:spacing w:after="52"/>
        <w:ind w:left="346" w:hanging="173"/>
      </w:pPr>
      <w:r>
        <w:rPr>
          <w:rFonts w:ascii="Calibri" w:hAnsi="Calibri"/>
          <w:sz w:val="18"/>
        </w:rPr>
        <w:t>Run 5-10 test loads with chain-of-custody photos, tonnage, moisture, lab panels, haul cost, gate outcome, and customer pricing.</w:t>
      </w:r>
    </w:p>
    <w:p>
      <w:pPr>
        <w:pStyle w:val="ListBullet"/>
        <w:spacing w:after="52"/>
        <w:ind w:left="346" w:hanging="173"/>
      </w:pPr>
      <w:r>
        <w:rPr>
          <w:rFonts w:ascii="Calibri" w:hAnsi="Calibri"/>
          <w:sz w:val="18"/>
        </w:rPr>
        <w:t>Offer customers a resource-recovery line item: $25-$75 per wet ton or a fixed $250-$1,000 site fee for documented compliant diversion.</w:t>
      </w:r>
    </w:p>
    <w:p>
      <w:pPr>
        <w:pStyle w:val="ListBullet"/>
        <w:spacing w:after="52"/>
        <w:ind w:left="346" w:hanging="173"/>
      </w:pPr>
      <w:r>
        <w:rPr>
          <w:rFonts w:ascii="Calibri" w:hAnsi="Calibri"/>
          <w:sz w:val="18"/>
        </w:rPr>
        <w:t>Do not co-mingle suspected cyanobacteria; pause, test, and dispose/treat separately.</w:t>
      </w:r>
    </w:p>
    <w:p>
      <w:pPr>
        <w:pStyle w:val="Heading2"/>
      </w:pPr>
      <w:r>
        <w:rPr>
          <w:rFonts w:ascii="Calibri" w:hAnsi="Calibri"/>
        </w:rPr>
        <w:t>Go / hold / no-go</w:t>
      </w:r>
    </w:p>
    <w:tbl>
      <w:tblPr>
        <w:tblStyle w:val="TableGrid"/>
        <w:tblW w:type="dxa" w:w="9360"/>
        <w:jc w:val="center"/>
        <w:tblLayout w:type="fixed"/>
        <w:tblLook w:firstColumn="1" w:firstRow="1" w:lastColumn="0" w:lastRow="0" w:noHBand="0" w:noVBand="1" w:val="04A0"/>
        <w:tblInd w:w="120" w:type="dxa"/>
      </w:tblPr>
      <w:tblGrid>
        <w:gridCol w:w="1500"/>
        <w:gridCol w:w="7860"/>
      </w:tblGrid>
      <w:tr>
        <w:tc>
          <w:tcPr>
            <w:tcW w:type="dxa" w:w="1500"/>
            <w:tcMar>
              <w:top w:w="80" w:type="dxa"/>
              <w:bottom w:w="80" w:type="dxa"/>
              <w:start w:w="120" w:type="dxa"/>
              <w:end w:w="120" w:type="dxa"/>
            </w:tcMar>
            <w:vAlign w:val="center"/>
            <w:shd w:fill="F2F4F7"/>
          </w:tcPr>
          <w:p>
            <w:pPr>
              <w:jc w:val="left"/>
            </w:pPr>
            <w:r/>
            <w:r>
              <w:rPr>
                <w:rFonts w:ascii="Calibri" w:hAnsi="Calibri"/>
                <w:b/>
                <w:color w:val="1F4D78"/>
                <w:sz w:val="15"/>
              </w:rPr>
              <w:t>Decision</w:t>
            </w:r>
          </w:p>
        </w:tc>
        <w:tc>
          <w:tcPr>
            <w:tcW w:type="dxa" w:w="7860"/>
            <w:tcMar>
              <w:top w:w="80" w:type="dxa"/>
              <w:bottom w:w="80" w:type="dxa"/>
              <w:start w:w="120" w:type="dxa"/>
              <w:end w:w="120" w:type="dxa"/>
            </w:tcMar>
            <w:vAlign w:val="center"/>
            <w:shd w:fill="F2F4F7"/>
          </w:tcPr>
          <w:p>
            <w:pPr>
              <w:jc w:val="left"/>
            </w:pPr>
            <w:r/>
            <w:r>
              <w:rPr>
                <w:rFonts w:ascii="Calibri" w:hAnsi="Calibri"/>
                <w:b/>
                <w:color w:val="1F4D78"/>
                <w:sz w:val="15"/>
              </w:rPr>
              <w:t>Threshold</w:t>
            </w:r>
          </w:p>
        </w:tc>
      </w:tr>
      <w:tr>
        <w:tc>
          <w:tcPr>
            <w:tcW w:type="dxa" w:w="1500"/>
            <w:vAlign w:val="center"/>
          </w:tcPr>
          <w:p>
            <w:pPr>
              <w:jc w:val="left"/>
            </w:pPr>
            <w:r/>
            <w:r>
              <w:rPr>
                <w:rFonts w:ascii="Calibri" w:hAnsi="Calibri"/>
                <w:b w:val="0"/>
                <w:color w:val="111111"/>
                <w:sz w:val="15"/>
              </w:rPr>
              <w:t>Go</w:t>
            </w:r>
          </w:p>
        </w:tc>
        <w:tc>
          <w:tcPr>
            <w:tcW w:type="dxa" w:w="7860"/>
            <w:vAlign w:val="center"/>
          </w:tcPr>
          <w:p>
            <w:pPr>
              <w:jc w:val="left"/>
            </w:pPr>
            <w:r/>
            <w:r>
              <w:rPr>
                <w:rFonts w:ascii="Calibri" w:hAnsi="Calibri"/>
                <w:b w:val="0"/>
                <w:color w:val="111111"/>
                <w:sz w:val="15"/>
              </w:rPr>
              <w:t>At least 500 clean wet tons/year under customer-paid recovery fees; accepted by a processor; net contribution above $25/wet ton.</w:t>
            </w:r>
          </w:p>
        </w:tc>
      </w:tr>
      <w:tr>
        <w:tc>
          <w:tcPr>
            <w:tcW w:type="dxa" w:w="1500"/>
            <w:vAlign w:val="center"/>
          </w:tcPr>
          <w:p>
            <w:pPr>
              <w:jc w:val="left"/>
            </w:pPr>
            <w:r/>
            <w:r>
              <w:rPr>
                <w:rFonts w:ascii="Calibri" w:hAnsi="Calibri"/>
                <w:b w:val="0"/>
                <w:color w:val="111111"/>
                <w:sz w:val="15"/>
              </w:rPr>
              <w:t>Hold</w:t>
            </w:r>
          </w:p>
        </w:tc>
        <w:tc>
          <w:tcPr>
            <w:tcW w:type="dxa" w:w="7860"/>
            <w:vAlign w:val="center"/>
          </w:tcPr>
          <w:p>
            <w:pPr>
              <w:jc w:val="left"/>
            </w:pPr>
            <w:r/>
            <w:r>
              <w:rPr>
                <w:rFonts w:ascii="Calibri" w:hAnsi="Calibri"/>
                <w:b w:val="0"/>
                <w:color w:val="111111"/>
                <w:sz w:val="15"/>
              </w:rPr>
              <w:t>Processor accepts material but only at landfill-equivalent cost; customer recovery fee unproven; lab data still variable.</w:t>
            </w:r>
          </w:p>
        </w:tc>
      </w:tr>
      <w:tr>
        <w:tc>
          <w:tcPr>
            <w:tcW w:type="dxa" w:w="1500"/>
            <w:vAlign w:val="center"/>
          </w:tcPr>
          <w:p>
            <w:pPr>
              <w:jc w:val="left"/>
            </w:pPr>
            <w:r/>
            <w:r>
              <w:rPr>
                <w:rFonts w:ascii="Calibri" w:hAnsi="Calibri"/>
                <w:b w:val="0"/>
                <w:color w:val="111111"/>
                <w:sz w:val="15"/>
              </w:rPr>
              <w:t>No-go</w:t>
            </w:r>
          </w:p>
        </w:tc>
        <w:tc>
          <w:tcPr>
            <w:tcW w:type="dxa" w:w="7860"/>
            <w:vAlign w:val="center"/>
          </w:tcPr>
          <w:p>
            <w:pPr>
              <w:jc w:val="left"/>
            </w:pPr>
            <w:r/>
            <w:r>
              <w:rPr>
                <w:rFonts w:ascii="Calibri" w:hAnsi="Calibri"/>
                <w:b w:val="0"/>
                <w:color w:val="111111"/>
                <w:sz w:val="15"/>
              </w:rPr>
              <w:t>Cyanotoxin/metals risk is frequent, loads cannot be segregated, or transport/processing cost exceeds value by more than $20/wet ton.</w:t>
            </w:r>
          </w:p>
        </w:tc>
      </w:tr>
    </w:tbl>
    <w:p>
      <w:pPr>
        <w:pStyle w:val="Heading2"/>
      </w:pPr>
      <w:r>
        <w:rPr>
          <w:rFonts w:ascii="Calibri" w:hAnsi="Calibri"/>
        </w:rPr>
        <w:t>Risks to disclose</w:t>
      </w:r>
    </w:p>
    <w:p>
      <w:r>
        <w:rPr>
          <w:rFonts w:ascii="Calibri" w:hAnsi="Calibri"/>
        </w:rPr>
        <w:t>The venture should be candid that this is not yet a validated product business. The largest risks are regulatory permission, processor acceptance, wet hauling cost, harmful-algae contamination, and the possibility that product revenue is negligible. The upside is strongest when the service is already paid, customers value compliant diversion, and processor partners can use clean biomass without major process changes.</w:t>
      </w:r>
    </w:p>
    <w:p>
      <w:pPr>
        <w:pStyle w:val="Heading2"/>
      </w:pPr>
      <w:r>
        <w:rPr>
          <w:rFonts w:ascii="Calibri" w:hAnsi="Calibri"/>
        </w:rPr>
        <w:t>Key source notes</w:t>
      </w:r>
    </w:p>
    <w:p>
      <w:pPr>
        <w:spacing w:after="30"/>
      </w:pPr>
      <w:r>
        <w:rPr>
          <w:rFonts w:ascii="Calibri" w:hAnsi="Calibri"/>
          <w:b/>
          <w:sz w:val="16"/>
        </w:rPr>
        <w:t xml:space="preserve">City of Austin Lake Austin and algae context: </w:t>
      </w:r>
      <w:hyperlink r:id="rId10">
        <w:r>
          <w:rPr>
            <w:color w:val="2E74B5"/>
            <w:u w:val="single"/>
          </w:rPr>
          <w:t>https://www.austintexas.gov/watershed-protection/projects/lake-austin</w:t>
        </w:r>
      </w:hyperlink>
    </w:p>
    <w:p>
      <w:pPr>
        <w:spacing w:after="30"/>
      </w:pPr>
      <w:r>
        <w:rPr>
          <w:rFonts w:ascii="Calibri" w:hAnsi="Calibri"/>
          <w:b/>
          <w:sz w:val="16"/>
        </w:rPr>
        <w:t xml:space="preserve">TPWD nuisance aquatic vegetation and permit rules: </w:t>
      </w:r>
      <w:hyperlink r:id="rId11">
        <w:r>
          <w:rPr>
            <w:color w:val="2E74B5"/>
            <w:u w:val="single"/>
          </w:rPr>
          <w:t>https://tpwd.texas.gov/landwater/water/environconcerns/nuisance_plants/</w:t>
        </w:r>
      </w:hyperlink>
    </w:p>
    <w:p>
      <w:pPr>
        <w:spacing w:after="30"/>
      </w:pPr>
      <w:r>
        <w:rPr>
          <w:rFonts w:ascii="Calibri" w:hAnsi="Calibri"/>
          <w:b/>
          <w:sz w:val="16"/>
        </w:rPr>
        <w:t xml:space="preserve">TDS gate rates and composting infrastructure: </w:t>
      </w:r>
      <w:hyperlink r:id="rId12">
        <w:r>
          <w:rPr>
            <w:color w:val="2E74B5"/>
            <w:u w:val="single"/>
          </w:rPr>
          <w:t>https://www.texasdisposal.com/gate-rates/</w:t>
        </w:r>
      </w:hyperlink>
    </w:p>
    <w:p>
      <w:pPr>
        <w:spacing w:after="30"/>
      </w:pPr>
      <w:r>
        <w:rPr>
          <w:rFonts w:ascii="Calibri" w:hAnsi="Calibri"/>
          <w:b/>
          <w:sz w:val="16"/>
        </w:rPr>
        <w:t xml:space="preserve">Austin Water Dillo Dirt / Hornsby Bend composting and digestion: </w:t>
      </w:r>
      <w:hyperlink r:id="rId13">
        <w:r>
          <w:rPr>
            <w:color w:val="2E74B5"/>
            <w:u w:val="single"/>
          </w:rPr>
          <w:t>https://www.austintexas.gov/water/programs/dillo-dirt</w:t>
        </w:r>
      </w:hyperlink>
    </w:p>
    <w:p>
      <w:pPr>
        <w:spacing w:after="30"/>
      </w:pPr>
      <w:r>
        <w:rPr>
          <w:rFonts w:ascii="Calibri" w:hAnsi="Calibri"/>
          <w:b/>
          <w:sz w:val="16"/>
        </w:rPr>
        <w:t xml:space="preserve">Texas A&amp;M AgriLife testing lab pricing forms: </w:t>
      </w:r>
      <w:hyperlink r:id="rId14">
        <w:r>
          <w:rPr>
            <w:color w:val="2E74B5"/>
            <w:u w:val="single"/>
          </w:rPr>
          <w:t>https://soiltesting.tamu.edu/sample-page/submittal-forms/</w:t>
        </w:r>
      </w:hyperlink>
    </w:p>
    <w:p>
      <w:pPr>
        <w:spacing w:after="30"/>
      </w:pPr>
      <w:r>
        <w:rPr>
          <w:rFonts w:ascii="Calibri" w:hAnsi="Calibri"/>
          <w:b/>
          <w:sz w:val="16"/>
        </w:rPr>
        <w:t xml:space="preserve">USACE mechanical harvesting fresh-weight assumptions: </w:t>
      </w:r>
      <w:hyperlink r:id="rId15">
        <w:r>
          <w:rPr>
            <w:color w:val="2E74B5"/>
            <w:u w:val="single"/>
          </w:rPr>
          <w:t>https://corpslakes.erdc.dren.mil/employees/invasive/pdfs/MechanicalHarvesting.pdf</w:t>
        </w:r>
      </w:hyperlink>
    </w:p>
    <w:p>
      <w:pPr>
        <w:spacing w:after="30"/>
      </w:pPr>
      <w:r>
        <w:rPr>
          <w:rFonts w:ascii="Calibri" w:hAnsi="Calibri"/>
          <w:b/>
          <w:sz w:val="16"/>
        </w:rPr>
        <w:t xml:space="preserve">EPA AD tipping-fee and co-digestion context: </w:t>
      </w:r>
      <w:hyperlink r:id="rId16">
        <w:r>
          <w:rPr>
            <w:color w:val="2E74B5"/>
            <w:u w:val="single"/>
          </w:rPr>
          <w:t>https://www.epa.gov/anaerobic-digestion/anaerobic-digestion-facilities-processing-food-waste-us-2020-2021</w:t>
        </w:r>
      </w:hyperlink>
    </w:p>
    <w:p>
      <w:pPr>
        <w:spacing w:after="30"/>
      </w:pPr>
      <w:r>
        <w:rPr>
          <w:rFonts w:ascii="Calibri" w:hAnsi="Calibri"/>
          <w:b/>
          <w:sz w:val="16"/>
        </w:rPr>
        <w:t xml:space="preserve">Texas composting general requirements: </w:t>
      </w:r>
      <w:hyperlink r:id="rId17">
        <w:r>
          <w:rPr>
            <w:color w:val="2E74B5"/>
            <w:u w:val="single"/>
          </w:rPr>
          <w:t>https://www.law.cornell.edu/regulations/texas/30-Tex-Admin-Code-SS-332-4</w:t>
        </w:r>
      </w:hyperlink>
    </w:p>
    <w:sectPr>
      <w:footerReference w:type="default" r:id="rId9"/>
      <w:pgSz w:w="12240" w:h="15840"/>
      <w:pgMar w:top="1037" w:right="1037" w:bottom="979"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6"/>
      </w:rPr>
      <w:t>Austin Lake Vegetation Valorization | Executive Summary | 2026-06-17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0" w:lineRule="auto"/>
    </w:pPr>
    <w:rPr>
      <w:rFonts w:ascii="Calibri" w:hAnsi="Calibri"/>
      <w:color w:val="1111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2E74B5"/>
      <w:sz w:val="29"/>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Calibri" w:hAnsi="Calibri"/>
      <w:b/>
      <w:bCs/>
      <w:color w:val="1F4D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ustintexas.gov/watershed-protection/projects/lake-austin" TargetMode="External"/><Relationship Id="rId11" Type="http://schemas.openxmlformats.org/officeDocument/2006/relationships/hyperlink" Target="https://tpwd.texas.gov/landwater/water/environconcerns/nuisance_plants/" TargetMode="External"/><Relationship Id="rId12" Type="http://schemas.openxmlformats.org/officeDocument/2006/relationships/hyperlink" Target="https://www.texasdisposal.com/gate-rates/" TargetMode="External"/><Relationship Id="rId13" Type="http://schemas.openxmlformats.org/officeDocument/2006/relationships/hyperlink" Target="https://www.austintexas.gov/water/programs/dillo-dirt" TargetMode="External"/><Relationship Id="rId14" Type="http://schemas.openxmlformats.org/officeDocument/2006/relationships/hyperlink" Target="https://soiltesting.tamu.edu/sample-page/submittal-forms/" TargetMode="External"/><Relationship Id="rId15" Type="http://schemas.openxmlformats.org/officeDocument/2006/relationships/hyperlink" Target="https://corpslakes.erdc.dren.mil/employees/invasive/pdfs/MechanicalHarvesting.pdf" TargetMode="External"/><Relationship Id="rId16" Type="http://schemas.openxmlformats.org/officeDocument/2006/relationships/hyperlink" Target="https://www.epa.gov/anaerobic-digestion/anaerobic-digestion-facilities-processing-food-waste-us-2020-2021" TargetMode="External"/><Relationship Id="rId17" Type="http://schemas.openxmlformats.org/officeDocument/2006/relationships/hyperlink" Target="https://www.law.cornell.edu/regulations/texas/30-Tex-Admin-Code-SS-3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