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DCA0E" w14:textId="77777777" w:rsidR="00FF3054" w:rsidRDefault="00000000">
      <w:pPr>
        <w:spacing w:before="600" w:after="200"/>
        <w:jc w:val="center"/>
      </w:pPr>
      <w:r>
        <w:rPr>
          <w:noProof/>
        </w:rPr>
        <w:drawing>
          <wp:inline distT="0" distB="0" distL="0" distR="0" wp14:anchorId="2FE4604E" wp14:editId="674F54E5">
            <wp:extent cx="2228850" cy="51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28850" cy="514350"/>
                    </a:xfrm>
                    <a:prstGeom prst="rect">
                      <a:avLst/>
                    </a:prstGeom>
                  </pic:spPr>
                </pic:pic>
              </a:graphicData>
            </a:graphic>
          </wp:inline>
        </w:drawing>
      </w:r>
    </w:p>
    <w:p w14:paraId="232D2DE4" w14:textId="77777777" w:rsidR="00FF3054" w:rsidRDefault="00000000">
      <w:pPr>
        <w:spacing w:before="400" w:after="100"/>
        <w:jc w:val="center"/>
      </w:pPr>
      <w:r>
        <w:rPr>
          <w:b/>
          <w:bCs/>
          <w:sz w:val="48"/>
          <w:szCs w:val="48"/>
        </w:rPr>
        <w:t>PLATFORM, OPERATIONS &amp; SALES STRATEGY</w:t>
      </w:r>
    </w:p>
    <w:p w14:paraId="17463D27" w14:textId="77777777" w:rsidR="00FF3054" w:rsidRDefault="00000000">
      <w:pPr>
        <w:spacing w:after="400"/>
        <w:jc w:val="center"/>
      </w:pPr>
      <w:r>
        <w:rPr>
          <w:color w:val="278BCB"/>
          <w:sz w:val="28"/>
          <w:szCs w:val="28"/>
        </w:rPr>
        <w:t>Internal Playbook &amp; Marketing Reference</w:t>
      </w:r>
    </w:p>
    <w:p w14:paraId="7CA4B2EB" w14:textId="77777777" w:rsidR="00FF3054" w:rsidRDefault="00000000">
      <w:pPr>
        <w:spacing w:after="60"/>
        <w:jc w:val="center"/>
      </w:pPr>
      <w:r>
        <w:rPr>
          <w:i/>
          <w:iCs/>
          <w:color w:val="676767"/>
          <w:sz w:val="20"/>
          <w:szCs w:val="20"/>
        </w:rPr>
        <w:t xml:space="preserve">Source material: </w:t>
      </w:r>
      <w:proofErr w:type="spellStart"/>
      <w:r>
        <w:rPr>
          <w:i/>
          <w:iCs/>
          <w:color w:val="676767"/>
          <w:sz w:val="20"/>
          <w:szCs w:val="20"/>
        </w:rPr>
        <w:t>VivaMee</w:t>
      </w:r>
      <w:proofErr w:type="spellEnd"/>
      <w:r>
        <w:rPr>
          <w:i/>
          <w:iCs/>
          <w:color w:val="676767"/>
          <w:sz w:val="20"/>
          <w:szCs w:val="20"/>
        </w:rPr>
        <w:t xml:space="preserve"> Demo Study Guide, Meeting Highlights (12-13), Rob Schmidt POS Notes (6/2)</w:t>
      </w:r>
    </w:p>
    <w:p w14:paraId="644BB003" w14:textId="0D249E8C" w:rsidR="00FF3054" w:rsidRDefault="00000000" w:rsidP="0017253C">
      <w:pPr>
        <w:spacing w:after="800"/>
        <w:jc w:val="center"/>
      </w:pPr>
      <w:r>
        <w:rPr>
          <w:color w:val="676767"/>
          <w:sz w:val="20"/>
          <w:szCs w:val="20"/>
        </w:rPr>
        <w:t>Companion to the Hardware, RFID &amp; Handheld Systems Playbook</w:t>
      </w:r>
    </w:p>
    <w:p w14:paraId="46AC5608" w14:textId="77777777" w:rsidR="00FF3054" w:rsidRDefault="00000000">
      <w:pPr>
        <w:pStyle w:val="Heading1"/>
      </w:pPr>
      <w:r>
        <w:t>Contents</w:t>
      </w:r>
    </w:p>
    <w:p w14:paraId="5C6D3CCF" w14:textId="77777777" w:rsidR="00FF3054" w:rsidRDefault="00000000">
      <w:pPr>
        <w:pStyle w:val="ListParagraph"/>
        <w:numPr>
          <w:ilvl w:val="0"/>
          <w:numId w:val="2"/>
        </w:numPr>
        <w:spacing w:after="80"/>
      </w:pPr>
      <w:r>
        <w:t>1. Cloud Architecture — The Platform Moat</w:t>
      </w:r>
    </w:p>
    <w:p w14:paraId="65C2AB1C" w14:textId="77777777" w:rsidR="00FF3054" w:rsidRDefault="00000000">
      <w:pPr>
        <w:pStyle w:val="ListParagraph"/>
        <w:numPr>
          <w:ilvl w:val="0"/>
          <w:numId w:val="2"/>
        </w:numPr>
        <w:spacing w:after="80"/>
      </w:pPr>
      <w:r>
        <w:t>2. Customer-Facing Screen &amp; Branding</w:t>
      </w:r>
    </w:p>
    <w:p w14:paraId="782B502C" w14:textId="77777777" w:rsidR="00FF3054" w:rsidRDefault="00000000">
      <w:pPr>
        <w:pStyle w:val="ListParagraph"/>
        <w:numPr>
          <w:ilvl w:val="0"/>
          <w:numId w:val="2"/>
        </w:numPr>
        <w:spacing w:after="80"/>
      </w:pPr>
      <w:r>
        <w:t>3. Reporting &amp; Data Platform</w:t>
      </w:r>
    </w:p>
    <w:p w14:paraId="30AFA39E" w14:textId="77777777" w:rsidR="00FF3054" w:rsidRDefault="00000000">
      <w:pPr>
        <w:pStyle w:val="ListParagraph"/>
        <w:numPr>
          <w:ilvl w:val="0"/>
          <w:numId w:val="2"/>
        </w:numPr>
        <w:spacing w:after="80"/>
      </w:pPr>
      <w:r>
        <w:t>4. Compliance &amp; Risk Tracking</w:t>
      </w:r>
    </w:p>
    <w:p w14:paraId="5D24B326" w14:textId="77777777" w:rsidR="00FF3054" w:rsidRDefault="00000000">
      <w:pPr>
        <w:pStyle w:val="ListParagraph"/>
        <w:numPr>
          <w:ilvl w:val="0"/>
          <w:numId w:val="2"/>
        </w:numPr>
        <w:spacing w:after="80"/>
      </w:pPr>
      <w:r>
        <w:t>5. Competitive Differentiation — Platform Layer</w:t>
      </w:r>
    </w:p>
    <w:p w14:paraId="63F98EF8" w14:textId="77777777" w:rsidR="00FF3054" w:rsidRDefault="00000000">
      <w:pPr>
        <w:pStyle w:val="ListParagraph"/>
        <w:numPr>
          <w:ilvl w:val="0"/>
          <w:numId w:val="2"/>
        </w:numPr>
        <w:spacing w:after="80"/>
      </w:pPr>
      <w:r>
        <w:t>6. Go-to-Market Strategy &amp; Unit Economics</w:t>
      </w:r>
    </w:p>
    <w:p w14:paraId="77EEBBF2" w14:textId="77777777" w:rsidR="00FF3054" w:rsidRDefault="00000000">
      <w:pPr>
        <w:pStyle w:val="ListParagraph"/>
        <w:numPr>
          <w:ilvl w:val="0"/>
          <w:numId w:val="2"/>
        </w:numPr>
        <w:spacing w:after="80"/>
      </w:pPr>
      <w:r>
        <w:t>7. Support Model &amp; Execution Risk</w:t>
      </w:r>
    </w:p>
    <w:p w14:paraId="1CAD3CC9" w14:textId="77777777" w:rsidR="00FF3054" w:rsidRDefault="00000000">
      <w:pPr>
        <w:pStyle w:val="ListParagraph"/>
        <w:numPr>
          <w:ilvl w:val="0"/>
          <w:numId w:val="2"/>
        </w:numPr>
        <w:spacing w:after="80"/>
      </w:pPr>
      <w:r>
        <w:t>8. Customer References &amp; Proof Points</w:t>
      </w:r>
    </w:p>
    <w:p w14:paraId="3D01A6E3" w14:textId="77777777" w:rsidR="00FF3054" w:rsidRDefault="00000000">
      <w:pPr>
        <w:pStyle w:val="ListParagraph"/>
        <w:numPr>
          <w:ilvl w:val="0"/>
          <w:numId w:val="2"/>
        </w:numPr>
        <w:spacing w:after="80"/>
      </w:pPr>
      <w:r>
        <w:t>9. Ready-to-Use Marketing Snippets</w:t>
      </w:r>
    </w:p>
    <w:p w14:paraId="036C3154" w14:textId="77777777" w:rsidR="00FF3054" w:rsidRDefault="00000000">
      <w:r>
        <w:br w:type="page"/>
      </w:r>
    </w:p>
    <w:p w14:paraId="68AD1557" w14:textId="77777777" w:rsidR="00FF3054" w:rsidRDefault="00000000">
      <w:pPr>
        <w:pStyle w:val="Heading1"/>
      </w:pPr>
      <w:r>
        <w:lastRenderedPageBreak/>
        <w:t>1. Cloud Architecture — The Platform Moat</w:t>
      </w:r>
    </w:p>
    <w:p w14:paraId="5318A2CA" w14:textId="77777777" w:rsidR="00FF3054" w:rsidRDefault="00000000">
      <w:pPr>
        <w:spacing w:after="140"/>
      </w:pPr>
      <w:proofErr w:type="spellStart"/>
      <w:r>
        <w:t>Pourtek's</w:t>
      </w:r>
      <w:proofErr w:type="spellEnd"/>
      <w:r>
        <w:t xml:space="preserve"> cloud architecture is the foundational differentiator beneath every other feature. Internal strategy notes are explicit: design for multi-location scale from day one to create differentiation competitors can't retrofit. This is not a feature that can be bolted onto a client-server system later — it </w:t>
      </w:r>
      <w:proofErr w:type="gramStart"/>
      <w:r>
        <w:t>has to</w:t>
      </w:r>
      <w:proofErr w:type="gramEnd"/>
      <w:r>
        <w:t xml:space="preserve"> be architected in from the start.</w:t>
      </w:r>
    </w:p>
    <w:p w14:paraId="732A06B5" w14:textId="77777777" w:rsidR="00FF3054" w:rsidRDefault="00000000">
      <w:pPr>
        <w:pStyle w:val="Heading2"/>
      </w:pPr>
      <w:r>
        <w:t>How it's built</w:t>
      </w:r>
    </w:p>
    <w:p w14:paraId="2E503A1A" w14:textId="77777777" w:rsidR="00FF3054" w:rsidRDefault="00000000">
      <w:pPr>
        <w:pStyle w:val="ListParagraph"/>
        <w:numPr>
          <w:ilvl w:val="0"/>
          <w:numId w:val="2"/>
        </w:numPr>
        <w:spacing w:after="80"/>
      </w:pPr>
      <w:r>
        <w:rPr>
          <w:b/>
          <w:bCs/>
        </w:rPr>
        <w:t xml:space="preserve">Salesforce backend: </w:t>
      </w:r>
      <w:r>
        <w:t>Used as the data repository for customer, transactional, and inventory information, making the system infinitely scalable globally due to Salesforce's distributed server network.</w:t>
      </w:r>
    </w:p>
    <w:p w14:paraId="56D1C419" w14:textId="77777777" w:rsidR="00FF3054" w:rsidRDefault="00000000">
      <w:pPr>
        <w:pStyle w:val="ListParagraph"/>
        <w:numPr>
          <w:ilvl w:val="0"/>
          <w:numId w:val="2"/>
        </w:numPr>
        <w:spacing w:after="80"/>
      </w:pPr>
      <w:r>
        <w:rPr>
          <w:b/>
          <w:bCs/>
        </w:rPr>
        <w:t xml:space="preserve">Amazon Web Services: </w:t>
      </w:r>
      <w:r>
        <w:t>Used for system configuration and hardware registration.</w:t>
      </w:r>
    </w:p>
    <w:p w14:paraId="485CC5F4" w14:textId="77777777" w:rsidR="00FF3054" w:rsidRDefault="00000000">
      <w:pPr>
        <w:spacing w:after="140"/>
      </w:pPr>
      <w:r>
        <w:t xml:space="preserve">The combination eliminates the need to physically access a server in a back office for changes, and provides real-time reporting plus easier data aggregation across multiple locations — a significant differentiator compared to systems built on physical, </w:t>
      </w:r>
      <w:proofErr w:type="gramStart"/>
      <w:r>
        <w:t>on-premise</w:t>
      </w:r>
      <w:proofErr w:type="gramEnd"/>
      <w:r>
        <w:t xml:space="preserve"> servers.</w:t>
      </w:r>
    </w:p>
    <w:p w14:paraId="2A22F76F" w14:textId="77777777" w:rsidR="00FF3054" w:rsidRDefault="00000000">
      <w:pPr>
        <w:pStyle w:val="Heading2"/>
      </w:pPr>
      <w:r>
        <w:t>Why this matters for multi-unit operators</w:t>
      </w:r>
    </w:p>
    <w:p w14:paraId="1A7B3657" w14:textId="77777777" w:rsidR="00FF3054" w:rsidRDefault="00000000">
      <w:pPr>
        <w:spacing w:after="140"/>
      </w:pPr>
      <w:r>
        <w:t xml:space="preserve">Competitors built on client-server models are typically designed for a single location. Retrofitting multi-site management onto </w:t>
      </w:r>
      <w:proofErr w:type="gramStart"/>
      <w:r>
        <w:t>that architecture</w:t>
      </w:r>
      <w:proofErr w:type="gramEnd"/>
      <w:r>
        <w:t xml:space="preserve"> is a much harder engineering problem than building it in from day one — which is exactly why </w:t>
      </w:r>
      <w:proofErr w:type="spellStart"/>
      <w:r>
        <w:t>Pourtek's</w:t>
      </w:r>
      <w:proofErr w:type="spellEnd"/>
      <w:r>
        <w:t xml:space="preserve"> cloud-native design is positioned as a durable moat rather than a checkbox feature.</w:t>
      </w:r>
    </w:p>
    <w:p w14:paraId="03E0795B" w14:textId="77777777" w:rsidR="00FF3054" w:rsidRDefault="00000000">
      <w:pPr>
        <w:spacing w:after="140"/>
      </w:pPr>
      <w:r>
        <w:t xml:space="preserve">Use true cloud architecture to make reporting, configuration, and multi-site management default capabilities, not premium add-ons. This is the language to use when a prospect is evaluating </w:t>
      </w:r>
      <w:proofErr w:type="spellStart"/>
      <w:r>
        <w:t>Pourtek</w:t>
      </w:r>
      <w:proofErr w:type="spellEnd"/>
      <w:r>
        <w:t xml:space="preserve"> against a system built for a single restaurant or bar rather than a multi-location brand.</w:t>
      </w:r>
    </w:p>
    <w:p w14:paraId="559C520D" w14:textId="77777777" w:rsidR="00FF3054" w:rsidRDefault="00000000">
      <w:pPr>
        <w:pStyle w:val="Heading1"/>
      </w:pPr>
      <w:r>
        <w:t>2. Customer-Facing Screen &amp; Branding</w:t>
      </w:r>
    </w:p>
    <w:p w14:paraId="6904AD30" w14:textId="77777777" w:rsidR="00FF3054" w:rsidRDefault="00000000">
      <w:pPr>
        <w:spacing w:after="140"/>
      </w:pPr>
      <w:r>
        <w:t>The customer-facing screen is the guest's entire interaction with the system before they ever touch a tap handle, and it is built on a different technical foundation than typical self-pour displays.</w:t>
      </w:r>
    </w:p>
    <w:p w14:paraId="7374FCED" w14:textId="77777777" w:rsidR="00FF3054" w:rsidRDefault="00000000">
      <w:pPr>
        <w:pStyle w:val="Heading2"/>
      </w:pPr>
      <w:r>
        <w:t>Hardware &amp; display</w:t>
      </w:r>
    </w:p>
    <w:p w14:paraId="6A17FEEA" w14:textId="77777777" w:rsidR="00FF3054" w:rsidRDefault="00000000">
      <w:pPr>
        <w:spacing w:after="140"/>
      </w:pPr>
      <w:r>
        <w:t xml:space="preserve">The customer-facing screen is a large display — e.g., a 10.1-inch widescreen — mounted above the </w:t>
      </w:r>
      <w:proofErr w:type="gramStart"/>
      <w:r>
        <w:t>taps</w:t>
      </w:r>
      <w:proofErr w:type="gramEnd"/>
      <w:r>
        <w:t xml:space="preserve">. Its job is to attract and </w:t>
      </w:r>
      <w:proofErr w:type="gramStart"/>
      <w:r>
        <w:t>inform:</w:t>
      </w:r>
      <w:proofErr w:type="gramEnd"/>
      <w:r>
        <w:t xml:space="preserve"> it shows animated images of available beverages, price per ounce, and details like ABV or style.</w:t>
      </w:r>
    </w:p>
    <w:p w14:paraId="359B49B9" w14:textId="77777777" w:rsidR="00FF3054" w:rsidRDefault="00000000">
      <w:pPr>
        <w:pStyle w:val="ListParagraph"/>
        <w:numPr>
          <w:ilvl w:val="0"/>
          <w:numId w:val="2"/>
        </w:numPr>
        <w:spacing w:after="80"/>
      </w:pPr>
      <w:r>
        <w:rPr>
          <w:b/>
          <w:bCs/>
        </w:rPr>
        <w:t xml:space="preserve">Keg level indicator: </w:t>
      </w:r>
      <w:r>
        <w:t xml:space="preserve">A colored ring around the beverage icon (green → yellow → red) shows customers how full the keg is </w:t>
      </w:r>
      <w:proofErr w:type="gramStart"/>
      <w:r>
        <w:t>at a glance</w:t>
      </w:r>
      <w:proofErr w:type="gramEnd"/>
      <w:r>
        <w:t>, before they even tap their card.</w:t>
      </w:r>
    </w:p>
    <w:p w14:paraId="21681B92" w14:textId="77777777" w:rsidR="00FF3054" w:rsidRDefault="00000000">
      <w:pPr>
        <w:pStyle w:val="ListParagraph"/>
        <w:numPr>
          <w:ilvl w:val="0"/>
          <w:numId w:val="2"/>
        </w:numPr>
        <w:spacing w:after="80"/>
      </w:pPr>
      <w:r>
        <w:rPr>
          <w:b/>
          <w:bCs/>
        </w:rPr>
        <w:t xml:space="preserve">Live, animated display: </w:t>
      </w:r>
      <w:r>
        <w:t>Not a static image — built using a gaming-engine-grade rendering approach, so visuals are fully interactive and three-dimensional rather than flat icons.</w:t>
      </w:r>
    </w:p>
    <w:p w14:paraId="31F66FF4" w14:textId="77777777" w:rsidR="00FF3054" w:rsidRDefault="00000000">
      <w:pPr>
        <w:pStyle w:val="Heading2"/>
      </w:pPr>
      <w:r>
        <w:t>Branding &amp; customization</w:t>
      </w:r>
    </w:p>
    <w:p w14:paraId="5631BB28" w14:textId="77777777" w:rsidR="00FF3054" w:rsidRDefault="00000000">
      <w:pPr>
        <w:pStyle w:val="ListParagraph"/>
        <w:numPr>
          <w:ilvl w:val="0"/>
          <w:numId w:val="2"/>
        </w:numPr>
        <w:spacing w:after="80"/>
      </w:pPr>
      <w:r>
        <w:rPr>
          <w:b/>
          <w:bCs/>
        </w:rPr>
        <w:lastRenderedPageBreak/>
        <w:t xml:space="preserve">Background images: </w:t>
      </w:r>
      <w:r>
        <w:t>Any custom image can become the screen background — corporate logos, wedding photos, or sports team branding during a game (e.g., local team logos).</w:t>
      </w:r>
    </w:p>
    <w:p w14:paraId="4CE5CD5D" w14:textId="77777777" w:rsidR="00FF3054" w:rsidRDefault="00000000">
      <w:pPr>
        <w:pStyle w:val="ListParagraph"/>
        <w:numPr>
          <w:ilvl w:val="0"/>
          <w:numId w:val="2"/>
        </w:numPr>
        <w:spacing w:after="80"/>
      </w:pPr>
      <w:r>
        <w:rPr>
          <w:b/>
          <w:bCs/>
        </w:rPr>
        <w:t xml:space="preserve">Animated overlays: </w:t>
      </w:r>
      <w:r>
        <w:t>Pre-built themed animations can be toggled on, such as falling shamrocks for St. Patrick's Day.</w:t>
      </w:r>
    </w:p>
    <w:p w14:paraId="27044ED7" w14:textId="77777777" w:rsidR="00FF3054" w:rsidRDefault="00000000">
      <w:pPr>
        <w:pStyle w:val="ListParagraph"/>
        <w:numPr>
          <w:ilvl w:val="0"/>
          <w:numId w:val="2"/>
        </w:numPr>
        <w:spacing w:after="80"/>
      </w:pPr>
      <w:r>
        <w:rPr>
          <w:b/>
          <w:bCs/>
        </w:rPr>
        <w:t xml:space="preserve">Color profiles: </w:t>
      </w:r>
      <w:r>
        <w:t>Every color on screen — text, backgrounds — is configurable and can be saved into profiles for quick switching.</w:t>
      </w:r>
    </w:p>
    <w:p w14:paraId="6B5150B7" w14:textId="77777777" w:rsidR="00FF3054" w:rsidRDefault="00000000">
      <w:pPr>
        <w:pStyle w:val="ListParagraph"/>
        <w:numPr>
          <w:ilvl w:val="0"/>
          <w:numId w:val="2"/>
        </w:numPr>
        <w:spacing w:after="80"/>
      </w:pPr>
      <w:r>
        <w:rPr>
          <w:b/>
          <w:bCs/>
        </w:rPr>
        <w:t xml:space="preserve">“Easter eggs”: </w:t>
      </w:r>
      <w:r>
        <w:t>Small interactive characters or animations that appear during pours — fun, shareable, memorable moments for guests.</w:t>
      </w:r>
    </w:p>
    <w:p w14:paraId="299268AE" w14:textId="77777777" w:rsidR="00FF3054" w:rsidRDefault="00000000">
      <w:pPr>
        <w:pStyle w:val="ListParagraph"/>
        <w:numPr>
          <w:ilvl w:val="0"/>
          <w:numId w:val="2"/>
        </w:numPr>
        <w:spacing w:after="80"/>
      </w:pPr>
      <w:r>
        <w:rPr>
          <w:b/>
          <w:bCs/>
        </w:rPr>
        <w:t>User-</w:t>
      </w:r>
      <w:proofErr w:type="spellStart"/>
      <w:r>
        <w:rPr>
          <w:b/>
          <w:bCs/>
        </w:rPr>
        <w:t>uploadable</w:t>
      </w:r>
      <w:proofErr w:type="spellEnd"/>
      <w:r>
        <w:rPr>
          <w:b/>
          <w:bCs/>
        </w:rPr>
        <w:t xml:space="preserve"> graphics: </w:t>
      </w:r>
      <w:r>
        <w:t>Operators can use their own image files for backgrounds, giving maximum branding flexibility without waiting on a vendor.</w:t>
      </w:r>
    </w:p>
    <w:p w14:paraId="70C699C6" w14:textId="77777777" w:rsidR="00FF3054" w:rsidRDefault="00000000">
      <w:pPr>
        <w:pBdr>
          <w:left w:val="single" w:sz="24" w:space="8" w:color="278BCB"/>
        </w:pBdr>
        <w:spacing w:before="120" w:after="200"/>
      </w:pPr>
      <w:r>
        <w:rPr>
          <w:b/>
          <w:bCs/>
          <w:color w:val="278BCB"/>
        </w:rPr>
        <w:t xml:space="preserve">Notable quote:  </w:t>
      </w:r>
      <w:r>
        <w:rPr>
          <w:i/>
          <w:iCs/>
        </w:rPr>
        <w:t>You can put pretty much just about any image on the back of it… if it's an anniversary or wedding or whatever, you can have whatever images you want on the back of the screens.</w:t>
      </w:r>
    </w:p>
    <w:p w14:paraId="0E063479" w14:textId="77777777" w:rsidR="00FF3054" w:rsidRDefault="00000000">
      <w:pPr>
        <w:pStyle w:val="Heading2"/>
      </w:pPr>
      <w:r>
        <w:t>Multilingual &amp; multi-currency</w:t>
      </w:r>
    </w:p>
    <w:p w14:paraId="1F17BD08" w14:textId="77777777" w:rsidR="00FF3054" w:rsidRDefault="00000000">
      <w:pPr>
        <w:spacing w:after="140"/>
      </w:pPr>
      <w:r>
        <w:t>The system supports nine different languages and multiple currencies, switchable with a single button press on the interface screen. Internal strategy notes flag this as more than a nice-to-</w:t>
      </w:r>
      <w:proofErr w:type="gramStart"/>
      <w:r>
        <w:t>have:</w:t>
      </w:r>
      <w:proofErr w:type="gramEnd"/>
      <w:r>
        <w:t xml:space="preserve"> pre-build multilingual and multi-currency support to make international expansion a configuration change, not an engineering project.</w:t>
      </w:r>
    </w:p>
    <w:p w14:paraId="6CBBA2C9" w14:textId="77777777" w:rsidR="00FF3054" w:rsidRDefault="00000000">
      <w:pPr>
        <w:pStyle w:val="Heading1"/>
      </w:pPr>
      <w:r>
        <w:t>3. Reporting &amp; Data Platform</w:t>
      </w:r>
    </w:p>
    <w:p w14:paraId="7560F2C6" w14:textId="77777777" w:rsidR="00FF3054" w:rsidRDefault="00000000">
      <w:pPr>
        <w:spacing w:after="140"/>
      </w:pPr>
      <w:r>
        <w:t xml:space="preserve">Real-time reporting is a direct consequence of </w:t>
      </w:r>
      <w:proofErr w:type="gramStart"/>
      <w:r>
        <w:t>the cloud</w:t>
      </w:r>
      <w:proofErr w:type="gramEnd"/>
      <w:r>
        <w:t xml:space="preserve"> architecture, and it changes how operators manage multi-location inventory and consumption.</w:t>
      </w:r>
    </w:p>
    <w:p w14:paraId="234E9C94" w14:textId="77777777" w:rsidR="00FF3054" w:rsidRDefault="00000000">
      <w:pPr>
        <w:pStyle w:val="Heading2"/>
      </w:pPr>
      <w:r>
        <w:t>What gets tracked</w:t>
      </w:r>
    </w:p>
    <w:p w14:paraId="19D99CFB" w14:textId="77777777" w:rsidR="00FF3054" w:rsidRDefault="00000000">
      <w:pPr>
        <w:pStyle w:val="ListParagraph"/>
        <w:numPr>
          <w:ilvl w:val="0"/>
          <w:numId w:val="2"/>
        </w:numPr>
        <w:spacing w:after="80"/>
      </w:pPr>
      <w:r>
        <w:rPr>
          <w:b/>
          <w:bCs/>
        </w:rPr>
        <w:t xml:space="preserve">Volume and consumption: </w:t>
      </w:r>
      <w:r>
        <w:t>The exact amount of beverage poured, tracked in ounces.</w:t>
      </w:r>
    </w:p>
    <w:p w14:paraId="4C67FA09" w14:textId="77777777" w:rsidR="00FF3054" w:rsidRDefault="00000000">
      <w:pPr>
        <w:pStyle w:val="ListParagraph"/>
        <w:numPr>
          <w:ilvl w:val="0"/>
          <w:numId w:val="2"/>
        </w:numPr>
        <w:spacing w:after="80"/>
      </w:pPr>
      <w:r>
        <w:rPr>
          <w:b/>
          <w:bCs/>
        </w:rPr>
        <w:t xml:space="preserve">Servings: </w:t>
      </w:r>
      <w:r>
        <w:t>Consumption tracked by number of servings — useful for comparing beverages with different ABV levels, such as wine or cocktails versus light beer.</w:t>
      </w:r>
    </w:p>
    <w:p w14:paraId="4BF01598" w14:textId="77777777" w:rsidR="00FF3054" w:rsidRDefault="00000000">
      <w:pPr>
        <w:pStyle w:val="ListParagraph"/>
        <w:numPr>
          <w:ilvl w:val="0"/>
          <w:numId w:val="2"/>
        </w:numPr>
        <w:spacing w:after="80"/>
      </w:pPr>
      <w:r>
        <w:rPr>
          <w:b/>
          <w:bCs/>
        </w:rPr>
        <w:t xml:space="preserve">THC consumption: </w:t>
      </w:r>
      <w:r>
        <w:t>Tracks consumption limits specifically for THC-infused beverages.</w:t>
      </w:r>
    </w:p>
    <w:p w14:paraId="54793864" w14:textId="77777777" w:rsidR="00FF3054" w:rsidRDefault="00000000">
      <w:pPr>
        <w:pStyle w:val="ListParagraph"/>
        <w:numPr>
          <w:ilvl w:val="0"/>
          <w:numId w:val="2"/>
        </w:numPr>
        <w:spacing w:after="80"/>
      </w:pPr>
      <w:r>
        <w:rPr>
          <w:b/>
          <w:bCs/>
        </w:rPr>
        <w:t xml:space="preserve">Responsibility / consumption limits: </w:t>
      </w:r>
      <w:r>
        <w:t>Owners configure limits based on both ounces and servings to control how much a customer can consume before being cut off.</w:t>
      </w:r>
    </w:p>
    <w:p w14:paraId="49753BCE" w14:textId="77777777" w:rsidR="00FF3054" w:rsidRDefault="00000000">
      <w:pPr>
        <w:pStyle w:val="ListParagraph"/>
        <w:numPr>
          <w:ilvl w:val="0"/>
          <w:numId w:val="2"/>
        </w:numPr>
        <w:spacing w:after="80"/>
      </w:pPr>
      <w:r>
        <w:rPr>
          <w:b/>
          <w:bCs/>
        </w:rPr>
        <w:t xml:space="preserve">Transactional data: </w:t>
      </w:r>
      <w:r>
        <w:t>Charges are calculated based on the specific amount poured, with real-time transactional tracking — no delay between pour and charge.</w:t>
      </w:r>
    </w:p>
    <w:p w14:paraId="318421C2" w14:textId="77777777" w:rsidR="00FF3054" w:rsidRDefault="00000000">
      <w:pPr>
        <w:pStyle w:val="Heading2"/>
      </w:pPr>
      <w:r>
        <w:t>Operational benefits of real-time reporting</w:t>
      </w:r>
    </w:p>
    <w:p w14:paraId="350FD3BD" w14:textId="77777777" w:rsidR="00FF3054" w:rsidRDefault="00000000">
      <w:pPr>
        <w:pStyle w:val="ListParagraph"/>
        <w:numPr>
          <w:ilvl w:val="0"/>
          <w:numId w:val="2"/>
        </w:numPr>
        <w:spacing w:after="80"/>
      </w:pPr>
      <w:r>
        <w:t>Eliminates the need to batch data or use remote desktop access to individual back-office servers.</w:t>
      </w:r>
    </w:p>
    <w:p w14:paraId="3B3ABF58" w14:textId="77777777" w:rsidR="00FF3054" w:rsidRDefault="00000000">
      <w:pPr>
        <w:pStyle w:val="ListParagraph"/>
        <w:numPr>
          <w:ilvl w:val="0"/>
          <w:numId w:val="2"/>
        </w:numPr>
        <w:spacing w:after="80"/>
      </w:pPr>
      <w:r>
        <w:t>Inventory changes — such as swapping a keg — update automatically across the system.</w:t>
      </w:r>
    </w:p>
    <w:p w14:paraId="57CB69F6" w14:textId="77777777" w:rsidR="00FF3054" w:rsidRDefault="00000000">
      <w:pPr>
        <w:pStyle w:val="ListParagraph"/>
        <w:numPr>
          <w:ilvl w:val="0"/>
          <w:numId w:val="2"/>
        </w:numPr>
        <w:spacing w:after="80"/>
      </w:pPr>
      <w:r>
        <w:t>Immediate calculation of pour volumes and associated charges, with no delay in transactional accuracy.</w:t>
      </w:r>
    </w:p>
    <w:p w14:paraId="31ACD7C9" w14:textId="77777777" w:rsidR="00FF3054" w:rsidRDefault="00000000">
      <w:pPr>
        <w:pStyle w:val="ListParagraph"/>
        <w:numPr>
          <w:ilvl w:val="0"/>
          <w:numId w:val="2"/>
        </w:numPr>
        <w:spacing w:after="80"/>
      </w:pPr>
      <w:r>
        <w:t>Remote reboot capability for screens and switches, since the entire system is cloud-based.</w:t>
      </w:r>
    </w:p>
    <w:p w14:paraId="4EDF168E" w14:textId="77777777" w:rsidR="00FF3054" w:rsidRDefault="00000000">
      <w:pPr>
        <w:pStyle w:val="Heading1"/>
      </w:pPr>
      <w:r>
        <w:lastRenderedPageBreak/>
        <w:t>4. Compliance &amp; Risk Tracking</w:t>
      </w:r>
    </w:p>
    <w:p w14:paraId="5F712BF0" w14:textId="77777777" w:rsidR="00FF3054" w:rsidRDefault="00000000">
      <w:pPr>
        <w:spacing w:after="140"/>
      </w:pPr>
      <w:r>
        <w:t>This section connects the dots between the data platform and risk management — useful for any conversation with a venue concerned about liability.</w:t>
      </w:r>
    </w:p>
    <w:p w14:paraId="13AF74AD" w14:textId="77777777" w:rsidR="00FF3054" w:rsidRDefault="00000000">
      <w:pPr>
        <w:spacing w:after="140"/>
      </w:pPr>
      <w:r>
        <w:t xml:space="preserve">Internal strategy guidance is direct on this point: track risk-aligned compliance metrics, such as servings and ABV, rather than easy proxies like ounces. </w:t>
      </w:r>
      <w:proofErr w:type="spellStart"/>
      <w:r>
        <w:t>Pourtek's</w:t>
      </w:r>
      <w:proofErr w:type="spellEnd"/>
      <w:r>
        <w:t xml:space="preserve"> dual-tracking model (ounces and servings simultaneously) reflects this principle directly — it is a structural decision, not a marketing claim layered on afterward.</w:t>
      </w:r>
    </w:p>
    <w:p w14:paraId="4D1BC632" w14:textId="77777777" w:rsidR="00FF3054" w:rsidRDefault="00000000">
      <w:pPr>
        <w:pStyle w:val="Heading2"/>
      </w:pPr>
      <w:r>
        <w:t>Faucet-level permissions</w:t>
      </w:r>
    </w:p>
    <w:p w14:paraId="3D8F5297" w14:textId="77777777" w:rsidR="00FF3054" w:rsidRDefault="00000000">
      <w:pPr>
        <w:spacing w:after="140"/>
      </w:pPr>
      <w:r>
        <w:t>Faucet-level permissions support mixed-use systems — for example, serving root beer alongside alcoholic beverages with specific wristband restrictions controlling which faucets a given RFID can activate. Competitors generally require entirely separate systems to keep alcoholic and non-alcoholic service apart.</w:t>
      </w:r>
    </w:p>
    <w:p w14:paraId="3E60504F" w14:textId="77777777" w:rsidR="00FF3054" w:rsidRDefault="00000000">
      <w:pPr>
        <w:pStyle w:val="Heading2"/>
      </w:pPr>
      <w:r>
        <w:t>THC tracking</w:t>
      </w:r>
    </w:p>
    <w:p w14:paraId="0FF5BE4B" w14:textId="77777777" w:rsidR="00FF3054" w:rsidRDefault="00000000">
      <w:pPr>
        <w:spacing w:after="140"/>
      </w:pPr>
      <w:r>
        <w:t>The system tracks consumption limits for THC-infused beverages specifically — a category most competitor systems do not address at all, and an emerging differentiator as more venues add THC beverage programs.</w:t>
      </w:r>
    </w:p>
    <w:p w14:paraId="619203AF" w14:textId="77777777" w:rsidR="00FF3054" w:rsidRDefault="00000000">
      <w:pPr>
        <w:pStyle w:val="Heading1"/>
      </w:pPr>
      <w:r>
        <w:t>5. Competitive Differentiation — Platform Layer</w:t>
      </w:r>
    </w:p>
    <w:p w14:paraId="39A43282" w14:textId="77777777" w:rsidR="00FF3054" w:rsidRDefault="00000000">
      <w:pPr>
        <w:spacing w:after="140"/>
      </w:pPr>
      <w:r>
        <w:t>Direct platform-level comparison points, consolidated from source material. (Hardware/RFID-level comparisons live in the companion Hardware, RFID &amp; Handheld Systems Playbook.)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40"/>
        <w:gridCol w:w="3420"/>
      </w:tblGrid>
      <w:tr w:rsidR="00FF3054" w14:paraId="7A8950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62626"/>
            <w:tcMar>
              <w:top w:w="90" w:type="dxa"/>
              <w:left w:w="130" w:type="dxa"/>
              <w:bottom w:w="90" w:type="dxa"/>
              <w:right w:w="130" w:type="dxa"/>
            </w:tcMar>
            <w:vAlign w:val="center"/>
          </w:tcPr>
          <w:p w14:paraId="6B326836" w14:textId="77777777" w:rsidR="00FF3054" w:rsidRDefault="00000000">
            <w:r>
              <w:rPr>
                <w:b/>
                <w:bCs/>
                <w:color w:val="FFFFFF"/>
                <w:sz w:val="20"/>
                <w:szCs w:val="20"/>
              </w:rPr>
              <w:t>Dimension</w:t>
            </w:r>
          </w:p>
        </w:tc>
        <w:tc>
          <w:tcPr>
            <w:tcW w:w="3540" w:type="dxa"/>
            <w:tcBorders>
              <w:top w:val="single" w:sz="1" w:space="0" w:color="CCCCCC"/>
              <w:left w:val="single" w:sz="1" w:space="0" w:color="CCCCCC"/>
              <w:bottom w:val="single" w:sz="1" w:space="0" w:color="CCCCCC"/>
              <w:right w:val="single" w:sz="1" w:space="0" w:color="CCCCCC"/>
            </w:tcBorders>
            <w:shd w:val="clear" w:color="auto" w:fill="262626"/>
            <w:tcMar>
              <w:top w:w="90" w:type="dxa"/>
              <w:left w:w="130" w:type="dxa"/>
              <w:bottom w:w="90" w:type="dxa"/>
              <w:right w:w="130" w:type="dxa"/>
            </w:tcMar>
            <w:vAlign w:val="center"/>
          </w:tcPr>
          <w:p w14:paraId="07D4C84C" w14:textId="77777777" w:rsidR="00FF3054" w:rsidRDefault="00000000">
            <w:proofErr w:type="spellStart"/>
            <w:r>
              <w:rPr>
                <w:b/>
                <w:bCs/>
                <w:color w:val="FFFFFF"/>
                <w:sz w:val="20"/>
                <w:szCs w:val="20"/>
              </w:rPr>
              <w:t>Pourtek</w:t>
            </w:r>
            <w:proofErr w:type="spellEnd"/>
          </w:p>
        </w:tc>
        <w:tc>
          <w:tcPr>
            <w:tcW w:w="3420" w:type="dxa"/>
            <w:tcBorders>
              <w:top w:val="single" w:sz="1" w:space="0" w:color="CCCCCC"/>
              <w:left w:val="single" w:sz="1" w:space="0" w:color="CCCCCC"/>
              <w:bottom w:val="single" w:sz="1" w:space="0" w:color="CCCCCC"/>
              <w:right w:val="single" w:sz="1" w:space="0" w:color="CCCCCC"/>
            </w:tcBorders>
            <w:shd w:val="clear" w:color="auto" w:fill="262626"/>
            <w:tcMar>
              <w:top w:w="90" w:type="dxa"/>
              <w:left w:w="130" w:type="dxa"/>
              <w:bottom w:w="90" w:type="dxa"/>
              <w:right w:w="130" w:type="dxa"/>
            </w:tcMar>
            <w:vAlign w:val="center"/>
          </w:tcPr>
          <w:p w14:paraId="0914B5A6" w14:textId="77777777" w:rsidR="00FF3054" w:rsidRDefault="00000000">
            <w:r>
              <w:rPr>
                <w:b/>
                <w:bCs/>
                <w:color w:val="FFFFFF"/>
                <w:sz w:val="20"/>
                <w:szCs w:val="20"/>
              </w:rPr>
              <w:t>Typical Competitor</w:t>
            </w:r>
          </w:p>
        </w:tc>
      </w:tr>
      <w:tr w:rsidR="00FF3054" w14:paraId="44CA8B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0F3B4EE" w14:textId="77777777" w:rsidR="00FF3054" w:rsidRDefault="00000000">
            <w:r>
              <w:rPr>
                <w:sz w:val="20"/>
                <w:szCs w:val="20"/>
              </w:rPr>
              <w:t>Architecture</w:t>
            </w:r>
          </w:p>
        </w:tc>
        <w:tc>
          <w:tcPr>
            <w:tcW w:w="35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070AD8F" w14:textId="77777777" w:rsidR="00FF3054" w:rsidRDefault="00000000">
            <w:r>
              <w:rPr>
                <w:sz w:val="20"/>
                <w:szCs w:val="20"/>
              </w:rPr>
              <w:t xml:space="preserve">Cloud-based (Salesforce + </w:t>
            </w:r>
            <w:proofErr w:type="gramStart"/>
            <w:r>
              <w:rPr>
                <w:sz w:val="20"/>
                <w:szCs w:val="20"/>
              </w:rPr>
              <w:t>AWS) —</w:t>
            </w:r>
            <w:proofErr w:type="gramEnd"/>
            <w:r>
              <w:rPr>
                <w:sz w:val="20"/>
                <w:szCs w:val="20"/>
              </w:rPr>
              <w:t xml:space="preserve"> globally scalable, real-time reporting</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DBF090A" w14:textId="77777777" w:rsidR="00FF3054" w:rsidRDefault="00000000">
            <w:r>
              <w:rPr>
                <w:sz w:val="20"/>
                <w:szCs w:val="20"/>
              </w:rPr>
              <w:t>Client-server model requiring physical back-office servers; limits scalability and complicates data aggregation</w:t>
            </w:r>
          </w:p>
        </w:tc>
      </w:tr>
      <w:tr w:rsidR="00FF3054" w14:paraId="725ABC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vAlign w:val="center"/>
          </w:tcPr>
          <w:p w14:paraId="29588A49" w14:textId="77777777" w:rsidR="00FF3054" w:rsidRDefault="00000000">
            <w:r>
              <w:rPr>
                <w:sz w:val="20"/>
                <w:szCs w:val="20"/>
              </w:rPr>
              <w:t>User interface</w:t>
            </w:r>
          </w:p>
        </w:tc>
        <w:tc>
          <w:tcPr>
            <w:tcW w:w="354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vAlign w:val="center"/>
          </w:tcPr>
          <w:p w14:paraId="44BDDD73" w14:textId="77777777" w:rsidR="00FF3054" w:rsidRDefault="00000000">
            <w:r>
              <w:rPr>
                <w:sz w:val="20"/>
                <w:szCs w:val="20"/>
              </w:rPr>
              <w:t>Gaming-engine-grade, animated, interactive, fully brandable screens</w:t>
            </w:r>
          </w:p>
        </w:tc>
        <w:tc>
          <w:tcPr>
            <w:tcW w:w="342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vAlign w:val="center"/>
          </w:tcPr>
          <w:p w14:paraId="42E550D4" w14:textId="77777777" w:rsidR="00FF3054" w:rsidRDefault="00000000">
            <w:r>
              <w:rPr>
                <w:sz w:val="20"/>
                <w:szCs w:val="20"/>
              </w:rPr>
              <w:t>Static, “vending machine” style interfaces with basic logos and pricing only</w:t>
            </w:r>
          </w:p>
        </w:tc>
      </w:tr>
      <w:tr w:rsidR="00FF3054" w14:paraId="0F5AE8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E0C610D" w14:textId="77777777" w:rsidR="00FF3054" w:rsidRDefault="00000000">
            <w:r>
              <w:rPr>
                <w:sz w:val="20"/>
                <w:szCs w:val="20"/>
              </w:rPr>
              <w:t>Consumption tracking</w:t>
            </w:r>
          </w:p>
        </w:tc>
        <w:tc>
          <w:tcPr>
            <w:tcW w:w="35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BF3DF73" w14:textId="77777777" w:rsidR="00FF3054" w:rsidRDefault="00000000">
            <w:r>
              <w:rPr>
                <w:sz w:val="20"/>
                <w:szCs w:val="20"/>
              </w:rPr>
              <w:t>Tracks both ounces and servings — ABV-aware</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5D033AB" w14:textId="77777777" w:rsidR="00FF3054" w:rsidRDefault="00000000">
            <w:r>
              <w:rPr>
                <w:sz w:val="20"/>
                <w:szCs w:val="20"/>
              </w:rPr>
              <w:t>Typically tracks ounces only</w:t>
            </w:r>
          </w:p>
        </w:tc>
      </w:tr>
      <w:tr w:rsidR="00FF3054" w14:paraId="72AF20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vAlign w:val="center"/>
          </w:tcPr>
          <w:p w14:paraId="2D91D976" w14:textId="77777777" w:rsidR="00FF3054" w:rsidRDefault="00000000">
            <w:r>
              <w:rPr>
                <w:sz w:val="20"/>
                <w:szCs w:val="20"/>
              </w:rPr>
              <w:t>Beverage versatility</w:t>
            </w:r>
          </w:p>
        </w:tc>
        <w:tc>
          <w:tcPr>
            <w:tcW w:w="354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vAlign w:val="center"/>
          </w:tcPr>
          <w:p w14:paraId="4F503FE2" w14:textId="77777777" w:rsidR="00FF3054" w:rsidRDefault="00000000">
            <w:r>
              <w:rPr>
                <w:sz w:val="20"/>
                <w:szCs w:val="20"/>
              </w:rPr>
              <w:t>Faucet-level configuration — alcoholic and non-alcoholic side by side with wristband restrictions</w:t>
            </w:r>
          </w:p>
        </w:tc>
        <w:tc>
          <w:tcPr>
            <w:tcW w:w="342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vAlign w:val="center"/>
          </w:tcPr>
          <w:p w14:paraId="54AFADE6" w14:textId="77777777" w:rsidR="00FF3054" w:rsidRDefault="00000000">
            <w:proofErr w:type="gramStart"/>
            <w:r>
              <w:rPr>
                <w:sz w:val="20"/>
                <w:szCs w:val="20"/>
              </w:rPr>
              <w:t>Generally</w:t>
            </w:r>
            <w:proofErr w:type="gramEnd"/>
            <w:r>
              <w:rPr>
                <w:sz w:val="20"/>
                <w:szCs w:val="20"/>
              </w:rPr>
              <w:t xml:space="preserve"> requires entirely separate systems for alcoholic vs. non-alcoholic service</w:t>
            </w:r>
          </w:p>
        </w:tc>
      </w:tr>
      <w:tr w:rsidR="00FF3054" w14:paraId="242255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37EC76F" w14:textId="77777777" w:rsidR="00FF3054" w:rsidRDefault="00000000">
            <w:r>
              <w:rPr>
                <w:sz w:val="20"/>
                <w:szCs w:val="20"/>
              </w:rPr>
              <w:t>Advanced features</w:t>
            </w:r>
          </w:p>
        </w:tc>
        <w:tc>
          <w:tcPr>
            <w:tcW w:w="35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1B5CDC1" w14:textId="77777777" w:rsidR="00FF3054" w:rsidRDefault="00000000">
            <w:r>
              <w:rPr>
                <w:sz w:val="20"/>
                <w:szCs w:val="20"/>
              </w:rPr>
              <w:t>THC consumption tracking; nine languages; multiple currencies</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6A35C8C" w14:textId="77777777" w:rsidR="00FF3054" w:rsidRDefault="00000000">
            <w:r>
              <w:rPr>
                <w:sz w:val="20"/>
                <w:szCs w:val="20"/>
              </w:rPr>
              <w:t>Not currently offered</w:t>
            </w:r>
          </w:p>
        </w:tc>
      </w:tr>
      <w:tr w:rsidR="00FF3054" w14:paraId="459B57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vAlign w:val="center"/>
          </w:tcPr>
          <w:p w14:paraId="54324101" w14:textId="77777777" w:rsidR="00FF3054" w:rsidRDefault="00000000">
            <w:r>
              <w:rPr>
                <w:sz w:val="20"/>
                <w:szCs w:val="20"/>
              </w:rPr>
              <w:t>Pricing (mobile installs)</w:t>
            </w:r>
          </w:p>
        </w:tc>
        <w:tc>
          <w:tcPr>
            <w:tcW w:w="354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vAlign w:val="center"/>
          </w:tcPr>
          <w:p w14:paraId="26F4AA3E" w14:textId="77777777" w:rsidR="00FF3054" w:rsidRDefault="00000000">
            <w:r>
              <w:rPr>
                <w:sz w:val="20"/>
                <w:szCs w:val="20"/>
              </w:rPr>
              <w:t>Competitive undercut versus major incumbents such as Pour My Beer</w:t>
            </w:r>
          </w:p>
        </w:tc>
        <w:tc>
          <w:tcPr>
            <w:tcW w:w="342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vAlign w:val="center"/>
          </w:tcPr>
          <w:p w14:paraId="1333CF10" w14:textId="77777777" w:rsidR="00FF3054" w:rsidRDefault="00000000">
            <w:r>
              <w:rPr>
                <w:sz w:val="20"/>
                <w:szCs w:val="20"/>
              </w:rPr>
              <w:t>Premium pricing on comparable mobile configurations</w:t>
            </w:r>
          </w:p>
        </w:tc>
      </w:tr>
    </w:tbl>
    <w:p w14:paraId="737F70E5" w14:textId="77777777" w:rsidR="00FF3054" w:rsidRDefault="00FF3054"/>
    <w:p w14:paraId="7B1AF45A" w14:textId="77777777" w:rsidR="00FF3054" w:rsidRDefault="00000000">
      <w:pPr>
        <w:pStyle w:val="Heading1"/>
      </w:pPr>
      <w:r>
        <w:t>6. Go-to-Market Strategy &amp; Unit Economics</w:t>
      </w:r>
    </w:p>
    <w:p w14:paraId="541D27F1" w14:textId="77777777" w:rsidR="00FF3054" w:rsidRDefault="00000000">
      <w:pPr>
        <w:spacing w:after="140"/>
      </w:pPr>
      <w:r>
        <w:t>This section is strategic guidance from internal planning discussions — useful for prioritizing pipeline and structuring outreach, not just for content.</w:t>
      </w:r>
    </w:p>
    <w:p w14:paraId="7D921D24" w14:textId="77777777" w:rsidR="00FF3054" w:rsidRDefault="00000000">
      <w:pPr>
        <w:pStyle w:val="Heading2"/>
      </w:pPr>
      <w:r>
        <w:t>Where to focus</w:t>
      </w:r>
    </w:p>
    <w:p w14:paraId="6974F10D" w14:textId="77777777" w:rsidR="00FF3054" w:rsidRDefault="00000000">
      <w:pPr>
        <w:pStyle w:val="ListParagraph"/>
        <w:numPr>
          <w:ilvl w:val="0"/>
          <w:numId w:val="2"/>
        </w:numPr>
        <w:spacing w:after="80"/>
      </w:pPr>
      <w:r>
        <w:rPr>
          <w:b/>
          <w:bCs/>
        </w:rPr>
        <w:t xml:space="preserve">Lead with obvious-pain customers: </w:t>
      </w:r>
      <w:r>
        <w:t>Target “low-hanging fruit” accounts with visible pain — e.g., long bar lines — rather than chasing marquee deals first.</w:t>
      </w:r>
    </w:p>
    <w:p w14:paraId="46506D0B" w14:textId="77777777" w:rsidR="00FF3054" w:rsidRDefault="00000000">
      <w:pPr>
        <w:pStyle w:val="ListParagraph"/>
        <w:numPr>
          <w:ilvl w:val="0"/>
          <w:numId w:val="2"/>
        </w:numPr>
        <w:spacing w:after="80"/>
      </w:pPr>
      <w:r>
        <w:rPr>
          <w:b/>
          <w:bCs/>
        </w:rPr>
        <w:t xml:space="preserve">Prioritize mobile units: </w:t>
      </w:r>
      <w:r>
        <w:t>Short lead-time mobile installs over permit-</w:t>
      </w:r>
      <w:proofErr w:type="gramStart"/>
      <w:r>
        <w:t>heavy</w:t>
      </w:r>
      <w:proofErr w:type="gramEnd"/>
      <w:r>
        <w:t xml:space="preserve"> fixed installs accelerates sales velocity meaningfully.</w:t>
      </w:r>
    </w:p>
    <w:p w14:paraId="1674195D" w14:textId="77777777" w:rsidR="00FF3054" w:rsidRDefault="00000000">
      <w:pPr>
        <w:pStyle w:val="ListParagraph"/>
        <w:numPr>
          <w:ilvl w:val="0"/>
          <w:numId w:val="2"/>
        </w:numPr>
        <w:spacing w:after="80"/>
      </w:pPr>
      <w:r>
        <w:rPr>
          <w:b/>
          <w:bCs/>
        </w:rPr>
        <w:t xml:space="preserve">Expand with lower-ticket products: </w:t>
      </w:r>
      <w:r>
        <w:t>Faster-cycle, lower-ticket products that fit many use cases — apartments, golf, hotels — grow the addressable market beyond large venues.</w:t>
      </w:r>
    </w:p>
    <w:p w14:paraId="7EFDBA81" w14:textId="77777777" w:rsidR="00FF3054" w:rsidRDefault="00000000">
      <w:pPr>
        <w:pStyle w:val="ListParagraph"/>
        <w:numPr>
          <w:ilvl w:val="0"/>
          <w:numId w:val="2"/>
        </w:numPr>
        <w:spacing w:after="80"/>
      </w:pPr>
      <w:r>
        <w:rPr>
          <w:b/>
          <w:bCs/>
        </w:rPr>
        <w:t xml:space="preserve">Use financing/payback calculators: </w:t>
      </w:r>
      <w:r>
        <w:t>Shift the conversation from sticker-price objections to time-to-recovery, which is usually a far easier conversation to win.</w:t>
      </w:r>
    </w:p>
    <w:p w14:paraId="66E8F021" w14:textId="77777777" w:rsidR="00FF3054" w:rsidRDefault="00000000">
      <w:pPr>
        <w:pStyle w:val="ListParagraph"/>
        <w:numPr>
          <w:ilvl w:val="0"/>
          <w:numId w:val="2"/>
        </w:numPr>
        <w:spacing w:after="80"/>
      </w:pPr>
      <w:r>
        <w:rPr>
          <w:b/>
          <w:bCs/>
        </w:rPr>
        <w:t xml:space="preserve">Undercut incumbents where margins allow: </w:t>
      </w:r>
      <w:r>
        <w:t>Price below competitors on comparable configurations when partner margins still support it.</w:t>
      </w:r>
    </w:p>
    <w:p w14:paraId="11511934" w14:textId="77777777" w:rsidR="00FF3054" w:rsidRDefault="00000000">
      <w:pPr>
        <w:pStyle w:val="Heading2"/>
      </w:pPr>
      <w:r>
        <w:t>Where to avoid</w:t>
      </w:r>
    </w:p>
    <w:p w14:paraId="6F4092FD" w14:textId="77777777" w:rsidR="00FF3054" w:rsidRDefault="00000000">
      <w:pPr>
        <w:spacing w:after="140"/>
      </w:pPr>
      <w:r>
        <w:t>Avoid gatekeeper-heavy, bundled-contract markets — major stadiums are the named example — due to disproportionate cycle time relative to deal value. These deals consume sales bandwidth without a proportional payoff.</w:t>
      </w:r>
    </w:p>
    <w:p w14:paraId="1B53EF78" w14:textId="77777777" w:rsidR="00FF3054" w:rsidRDefault="00000000">
      <w:pPr>
        <w:pStyle w:val="Heading2"/>
      </w:pPr>
      <w:r>
        <w:t>Scaling installation capacity</w:t>
      </w:r>
    </w:p>
    <w:p w14:paraId="7E16964C" w14:textId="77777777" w:rsidR="00FF3054" w:rsidRDefault="00000000">
      <w:pPr>
        <w:spacing w:after="140"/>
      </w:pPr>
      <w:r>
        <w:t xml:space="preserve">Scale coverage via a national dispatcher installer network that standardizes local execution — this decouples sales growth from </w:t>
      </w:r>
      <w:proofErr w:type="spellStart"/>
      <w:r>
        <w:t>Pourtek's</w:t>
      </w:r>
      <w:proofErr w:type="spellEnd"/>
      <w:r>
        <w:t xml:space="preserve"> internal install-team headcount.</w:t>
      </w:r>
    </w:p>
    <w:p w14:paraId="4390DB4B" w14:textId="77777777" w:rsidR="00FF3054" w:rsidRDefault="00000000">
      <w:pPr>
        <w:pStyle w:val="Heading2"/>
      </w:pPr>
      <w:r>
        <w:t>Translating economics for prospects</w:t>
      </w:r>
    </w:p>
    <w:p w14:paraId="2739A57D" w14:textId="77777777" w:rsidR="00FF3054" w:rsidRDefault="00000000">
      <w:pPr>
        <w:spacing w:after="140"/>
      </w:pPr>
      <w:r>
        <w:t>Convert monthly revenue into beers-per-day to ground sizing and ROI conversations — a daily, tangible number lands better with operators than an abstract monthly revenue projection.</w:t>
      </w:r>
    </w:p>
    <w:p w14:paraId="698E6CB2" w14:textId="77777777" w:rsidR="00FF3054" w:rsidRDefault="00000000">
      <w:pPr>
        <w:pStyle w:val="Heading1"/>
      </w:pPr>
      <w:r>
        <w:t>7. Support Model &amp; Execution Risk</w:t>
      </w:r>
    </w:p>
    <w:p w14:paraId="17ECE306" w14:textId="77777777" w:rsidR="00FF3054" w:rsidRDefault="00000000">
      <w:pPr>
        <w:spacing w:after="140"/>
      </w:pPr>
      <w:r>
        <w:t xml:space="preserve">Support economics </w:t>
      </w:r>
      <w:proofErr w:type="gramStart"/>
      <w:r>
        <w:t>are</w:t>
      </w:r>
      <w:proofErr w:type="gramEnd"/>
      <w:r>
        <w:t xml:space="preserve"> a key piece of internal strategy that should inform both staffing decisions and how support is positioned to prospects evaluating total cost of ownership.</w:t>
      </w:r>
    </w:p>
    <w:p w14:paraId="75CE2868" w14:textId="77777777" w:rsidR="00FF3054" w:rsidRDefault="00000000">
      <w:pPr>
        <w:pStyle w:val="Heading2"/>
      </w:pPr>
      <w:r>
        <w:t>The 90/95% rule</w:t>
      </w:r>
    </w:p>
    <w:p w14:paraId="00F105B6" w14:textId="77777777" w:rsidR="00FF3054" w:rsidRDefault="00000000">
      <w:pPr>
        <w:spacing w:after="140"/>
      </w:pPr>
      <w:r>
        <w:t>Roughly 90–95% of “pour tech” support calls are draft-system problems — empty gas, fob issues — rather than technology failures. Treat the large majority of “pour tech” issues as draft-system problems and triage accordingly.</w:t>
      </w:r>
    </w:p>
    <w:p w14:paraId="3974C832" w14:textId="77777777" w:rsidR="00FF3054" w:rsidRDefault="00000000">
      <w:pPr>
        <w:pStyle w:val="Heading2"/>
      </w:pPr>
      <w:r>
        <w:lastRenderedPageBreak/>
        <w:t>Triage model</w:t>
      </w:r>
    </w:p>
    <w:p w14:paraId="5030FF08" w14:textId="77777777" w:rsidR="00FF3054" w:rsidRDefault="00000000">
      <w:pPr>
        <w:pStyle w:val="ListParagraph"/>
        <w:numPr>
          <w:ilvl w:val="0"/>
          <w:numId w:val="2"/>
        </w:numPr>
        <w:spacing w:after="80"/>
      </w:pPr>
      <w:r>
        <w:t xml:space="preserve">Offer high-leverage first-line remote triage for </w:t>
      </w:r>
      <w:proofErr w:type="gramStart"/>
      <w:r>
        <w:t>the majority of</w:t>
      </w:r>
      <w:proofErr w:type="gramEnd"/>
      <w:r>
        <w:t xml:space="preserve"> issues.</w:t>
      </w:r>
    </w:p>
    <w:p w14:paraId="02B4A52F" w14:textId="77777777" w:rsidR="00FF3054" w:rsidRDefault="00000000">
      <w:pPr>
        <w:pStyle w:val="ListParagraph"/>
        <w:numPr>
          <w:ilvl w:val="0"/>
          <w:numId w:val="2"/>
        </w:numPr>
        <w:spacing w:after="80"/>
      </w:pPr>
      <w:r>
        <w:t>Hand off to local draft technicians only when the issue is confirmed to be hardware/draft-related rather than software.</w:t>
      </w:r>
    </w:p>
    <w:p w14:paraId="6731B64B" w14:textId="77777777" w:rsidR="00FF3054" w:rsidRDefault="00000000">
      <w:pPr>
        <w:pStyle w:val="Heading2"/>
      </w:pPr>
      <w:r>
        <w:t>Compliance risk in outreach</w:t>
      </w:r>
    </w:p>
    <w:p w14:paraId="792B3A41" w14:textId="77777777" w:rsidR="00FF3054" w:rsidRDefault="00000000">
      <w:pPr>
        <w:spacing w:after="140"/>
      </w:pPr>
      <w:r>
        <w:t xml:space="preserve">Design automation outreach — email, text, marketing automation — around solicitation and opt-out rules to prevent compliance blowback. This applies to </w:t>
      </w:r>
      <w:proofErr w:type="spellStart"/>
      <w:r>
        <w:t>Pourtek's</w:t>
      </w:r>
      <w:proofErr w:type="spellEnd"/>
      <w:r>
        <w:t xml:space="preserve"> own outbound motion as much as to anything built for customers.</w:t>
      </w:r>
    </w:p>
    <w:p w14:paraId="0A66CCBF" w14:textId="77777777" w:rsidR="00FF3054" w:rsidRDefault="00000000">
      <w:pPr>
        <w:pStyle w:val="Heading2"/>
      </w:pPr>
      <w:r>
        <w:t>Seasonal/event channels</w:t>
      </w:r>
    </w:p>
    <w:p w14:paraId="24C97C0D" w14:textId="77777777" w:rsidR="00FF3054" w:rsidRDefault="00000000">
      <w:pPr>
        <w:spacing w:after="140"/>
      </w:pPr>
      <w:proofErr w:type="gramStart"/>
      <w:r>
        <w:t>Pursue</w:t>
      </w:r>
      <w:proofErr w:type="gramEnd"/>
      <w:r>
        <w:t xml:space="preserve"> seasonal event channels only when an accountable on-site manager owns execution — without a single owner on the ground, event-based deployments tend to generate support escalations without a clear resolution path.</w:t>
      </w:r>
    </w:p>
    <w:p w14:paraId="60A8CF32" w14:textId="77777777" w:rsidR="00FF3054" w:rsidRDefault="00000000">
      <w:pPr>
        <w:pStyle w:val="Heading1"/>
      </w:pPr>
      <w:r>
        <w:t>8. Customer References &amp; Proof Points</w:t>
      </w:r>
    </w:p>
    <w:p w14:paraId="47218E26" w14:textId="77777777" w:rsidR="00FF3054" w:rsidRDefault="00000000">
      <w:pPr>
        <w:spacing w:after="140"/>
      </w:pPr>
      <w:r>
        <w:t>Named accounts and reference-worthy installs captured from internal notes. Verify current customer status before using any of these in external-facing materials.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F3054" w14:paraId="16C5E3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78BCB"/>
            <w:tcMar>
              <w:top w:w="100" w:type="dxa"/>
              <w:left w:w="140" w:type="dxa"/>
              <w:bottom w:w="100" w:type="dxa"/>
              <w:right w:w="140" w:type="dxa"/>
            </w:tcMar>
            <w:vAlign w:val="center"/>
          </w:tcPr>
          <w:p w14:paraId="6D57319A" w14:textId="77777777" w:rsidR="00FF3054" w:rsidRDefault="00000000">
            <w:r>
              <w:rPr>
                <w:b/>
                <w:bCs/>
                <w:color w:val="FFFFFF"/>
              </w:rPr>
              <w:t>Account</w:t>
            </w:r>
          </w:p>
        </w:tc>
        <w:tc>
          <w:tcPr>
            <w:tcW w:w="6240" w:type="dxa"/>
            <w:tcBorders>
              <w:top w:val="single" w:sz="1" w:space="0" w:color="CCCCCC"/>
              <w:left w:val="single" w:sz="1" w:space="0" w:color="CCCCCC"/>
              <w:bottom w:val="single" w:sz="1" w:space="0" w:color="CCCCCC"/>
              <w:right w:val="single" w:sz="1" w:space="0" w:color="CCCCCC"/>
            </w:tcBorders>
            <w:shd w:val="clear" w:color="auto" w:fill="278BCB"/>
            <w:tcMar>
              <w:top w:w="100" w:type="dxa"/>
              <w:left w:w="140" w:type="dxa"/>
              <w:bottom w:w="100" w:type="dxa"/>
              <w:right w:w="140" w:type="dxa"/>
            </w:tcMar>
            <w:vAlign w:val="center"/>
          </w:tcPr>
          <w:p w14:paraId="4516CD11" w14:textId="77777777" w:rsidR="00FF3054" w:rsidRDefault="00000000">
            <w:r>
              <w:rPr>
                <w:b/>
                <w:bCs/>
                <w:color w:val="FFFFFF"/>
              </w:rPr>
              <w:t>Venue Type / Notes</w:t>
            </w:r>
          </w:p>
        </w:tc>
      </w:tr>
      <w:tr w:rsidR="00FF3054" w14:paraId="174342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6FC"/>
            <w:tcMar>
              <w:top w:w="100" w:type="dxa"/>
              <w:left w:w="140" w:type="dxa"/>
              <w:bottom w:w="100" w:type="dxa"/>
              <w:right w:w="140" w:type="dxa"/>
            </w:tcMar>
            <w:vAlign w:val="center"/>
          </w:tcPr>
          <w:p w14:paraId="40AA66E2" w14:textId="77777777" w:rsidR="00FF3054" w:rsidRDefault="00000000">
            <w:r>
              <w:rPr>
                <w:b/>
                <w:bCs/>
              </w:rPr>
              <w:t>The Alley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439C4E4" w14:textId="77777777" w:rsidR="00FF3054" w:rsidRDefault="00000000">
            <w:r>
              <w:t>Springfield, Missouri</w:t>
            </w:r>
          </w:p>
        </w:tc>
      </w:tr>
      <w:tr w:rsidR="00FF3054" w14:paraId="23F718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6FC"/>
            <w:tcMar>
              <w:top w:w="100" w:type="dxa"/>
              <w:left w:w="140" w:type="dxa"/>
              <w:bottom w:w="100" w:type="dxa"/>
              <w:right w:w="140" w:type="dxa"/>
            </w:tcMar>
            <w:vAlign w:val="center"/>
          </w:tcPr>
          <w:p w14:paraId="0A4919A1" w14:textId="77777777" w:rsidR="00FF3054" w:rsidRDefault="00000000">
            <w:r>
              <w:rPr>
                <w:b/>
                <w:bCs/>
              </w:rPr>
              <w:t>Toll Brothers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68FE78" w14:textId="77777777" w:rsidR="00FF3054" w:rsidRDefault="00000000">
            <w:r>
              <w:t>California — residential/community amenity context</w:t>
            </w:r>
          </w:p>
        </w:tc>
      </w:tr>
      <w:tr w:rsidR="00FF3054" w14:paraId="5D6754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6FC"/>
            <w:tcMar>
              <w:top w:w="100" w:type="dxa"/>
              <w:left w:w="140" w:type="dxa"/>
              <w:bottom w:w="100" w:type="dxa"/>
              <w:right w:w="140" w:type="dxa"/>
            </w:tcMar>
            <w:vAlign w:val="center"/>
          </w:tcPr>
          <w:p w14:paraId="596B886D" w14:textId="77777777" w:rsidR="00FF3054" w:rsidRDefault="00000000">
            <w:r>
              <w:rPr>
                <w:b/>
                <w:bCs/>
              </w:rPr>
              <w:t>Family entertainment center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5DAA9F" w14:textId="77777777" w:rsidR="00FF3054" w:rsidRDefault="00000000">
            <w:r>
              <w:t>Kennewick, Washington</w:t>
            </w:r>
          </w:p>
        </w:tc>
      </w:tr>
      <w:tr w:rsidR="00FF3054" w14:paraId="78825F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6FC"/>
            <w:tcMar>
              <w:top w:w="100" w:type="dxa"/>
              <w:left w:w="140" w:type="dxa"/>
              <w:bottom w:w="100" w:type="dxa"/>
              <w:right w:w="140" w:type="dxa"/>
            </w:tcMar>
            <w:vAlign w:val="center"/>
          </w:tcPr>
          <w:p w14:paraId="601807D2" w14:textId="77777777" w:rsidR="00FF3054" w:rsidRDefault="00000000">
            <w:r>
              <w:rPr>
                <w:b/>
                <w:bCs/>
              </w:rPr>
              <w:t>Hudson Group</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4F0E4B3" w14:textId="77777777" w:rsidR="00FF3054" w:rsidRDefault="00000000">
            <w:r>
              <w:t>Grand Rapids Airport — airport/travel retail context</w:t>
            </w:r>
          </w:p>
        </w:tc>
      </w:tr>
      <w:tr w:rsidR="00FF3054" w14:paraId="0C0BD5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6FC"/>
            <w:tcMar>
              <w:top w:w="100" w:type="dxa"/>
              <w:left w:w="140" w:type="dxa"/>
              <w:bottom w:w="100" w:type="dxa"/>
              <w:right w:w="140" w:type="dxa"/>
            </w:tcMar>
            <w:vAlign w:val="center"/>
          </w:tcPr>
          <w:p w14:paraId="3C9A4FBE" w14:textId="77777777" w:rsidR="00FF3054" w:rsidRDefault="00000000">
            <w:r>
              <w:rPr>
                <w:b/>
                <w:bCs/>
              </w:rPr>
              <w:t>Axe throwing venue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F1F9E1" w14:textId="77777777" w:rsidR="00FF3054" w:rsidRDefault="00000000">
            <w:r>
              <w:t xml:space="preserve">Kenosha, Wisconsin — </w:t>
            </w:r>
            <w:proofErr w:type="spellStart"/>
            <w:r>
              <w:t>eatertainment</w:t>
            </w:r>
            <w:proofErr w:type="spellEnd"/>
            <w:r>
              <w:t xml:space="preserve"> vertical</w:t>
            </w:r>
          </w:p>
        </w:tc>
      </w:tr>
      <w:tr w:rsidR="00FF3054" w14:paraId="69E068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6FC"/>
            <w:tcMar>
              <w:top w:w="100" w:type="dxa"/>
              <w:left w:w="140" w:type="dxa"/>
              <w:bottom w:w="100" w:type="dxa"/>
              <w:right w:w="140" w:type="dxa"/>
            </w:tcMar>
            <w:vAlign w:val="center"/>
          </w:tcPr>
          <w:p w14:paraId="3D1021E3" w14:textId="77777777" w:rsidR="00FF3054" w:rsidRDefault="00000000">
            <w:r>
              <w:rPr>
                <w:b/>
                <w:bCs/>
              </w:rPr>
              <w:t>The Bunker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F0E07A" w14:textId="77777777" w:rsidR="00FF3054" w:rsidRDefault="00000000">
            <w:r>
              <w:t>South Carolina</w:t>
            </w:r>
          </w:p>
        </w:tc>
      </w:tr>
      <w:tr w:rsidR="00FF3054" w14:paraId="054DC7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6FC"/>
            <w:tcMar>
              <w:top w:w="100" w:type="dxa"/>
              <w:left w:w="140" w:type="dxa"/>
              <w:bottom w:w="100" w:type="dxa"/>
              <w:right w:w="140" w:type="dxa"/>
            </w:tcMar>
            <w:vAlign w:val="center"/>
          </w:tcPr>
          <w:p w14:paraId="6105DD92" w14:textId="77777777" w:rsidR="00FF3054" w:rsidRDefault="00000000">
            <w:r>
              <w:rPr>
                <w:b/>
                <w:bCs/>
              </w:rPr>
              <w:t>Loveland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12121D" w14:textId="77777777" w:rsidR="00FF3054" w:rsidRDefault="00000000">
            <w:r>
              <w:t>Reference install location (Hops and Berry Taproom is the named founding reference per prior materials)</w:t>
            </w:r>
          </w:p>
        </w:tc>
      </w:tr>
    </w:tbl>
    <w:p w14:paraId="13F84CC3" w14:textId="77777777" w:rsidR="00FF3054" w:rsidRDefault="00FF3054"/>
    <w:p w14:paraId="37A59D85" w14:textId="77777777" w:rsidR="00FF3054" w:rsidRDefault="00000000">
      <w:pPr>
        <w:spacing w:after="140"/>
      </w:pPr>
      <w:r>
        <w:t xml:space="preserve">Note: the airport, </w:t>
      </w:r>
      <w:proofErr w:type="spellStart"/>
      <w:r>
        <w:t>eatertainment</w:t>
      </w:r>
      <w:proofErr w:type="spellEnd"/>
      <w:r>
        <w:t xml:space="preserve">, and residential-community examples above are useful diversification proof points when a prospect questions whether </w:t>
      </w:r>
      <w:proofErr w:type="spellStart"/>
      <w:r>
        <w:t>Pourtek</w:t>
      </w:r>
      <w:proofErr w:type="spellEnd"/>
      <w:r>
        <w:t xml:space="preserve"> is “only for bars and breweries.”</w:t>
      </w:r>
    </w:p>
    <w:p w14:paraId="6798D87F" w14:textId="77777777" w:rsidR="00FF3054" w:rsidRDefault="00000000">
      <w:pPr>
        <w:pStyle w:val="Heading1"/>
      </w:pPr>
      <w:r>
        <w:t>9. Ready-to-Use Marketing Snippets</w:t>
      </w:r>
    </w:p>
    <w:p w14:paraId="6DB67087" w14:textId="77777777" w:rsidR="00FF3054" w:rsidRDefault="00000000">
      <w:pPr>
        <w:spacing w:after="140"/>
      </w:pPr>
      <w:r>
        <w:t>Pre-packaged language for landing pages, decks, and outreach — lightly edited from source material for external use.</w:t>
      </w:r>
    </w:p>
    <w:p w14:paraId="0B07D692" w14:textId="77777777" w:rsidR="00FF3054" w:rsidRDefault="00000000">
      <w:pPr>
        <w:pStyle w:val="Heading2"/>
      </w:pPr>
      <w:r>
        <w:lastRenderedPageBreak/>
        <w:t>Headline options</w:t>
      </w:r>
    </w:p>
    <w:p w14:paraId="46BF4554" w14:textId="77777777" w:rsidR="00FF3054" w:rsidRDefault="00000000">
      <w:pPr>
        <w:pStyle w:val="ListParagraph"/>
        <w:numPr>
          <w:ilvl w:val="0"/>
          <w:numId w:val="2"/>
        </w:numPr>
        <w:spacing w:after="80"/>
      </w:pPr>
      <w:r>
        <w:t xml:space="preserve">“Built </w:t>
      </w:r>
      <w:proofErr w:type="gramStart"/>
      <w:r>
        <w:t>cloud-native</w:t>
      </w:r>
      <w:proofErr w:type="gramEnd"/>
      <w:r>
        <w:t>. Scales like a franchise, not a single bar.”</w:t>
      </w:r>
    </w:p>
    <w:p w14:paraId="32D37A63" w14:textId="77777777" w:rsidR="00FF3054" w:rsidRDefault="00000000">
      <w:pPr>
        <w:pStyle w:val="ListParagraph"/>
        <w:numPr>
          <w:ilvl w:val="0"/>
          <w:numId w:val="2"/>
        </w:numPr>
        <w:spacing w:after="80"/>
      </w:pPr>
      <w:r>
        <w:t>“Your screens aren't vending machines. They're branded experiences.”</w:t>
      </w:r>
    </w:p>
    <w:p w14:paraId="760AFDC1" w14:textId="77777777" w:rsidR="00FF3054" w:rsidRDefault="00000000">
      <w:pPr>
        <w:pStyle w:val="ListParagraph"/>
        <w:numPr>
          <w:ilvl w:val="0"/>
          <w:numId w:val="2"/>
        </w:numPr>
        <w:spacing w:after="80"/>
      </w:pPr>
      <w:r>
        <w:t>“One login. Every location. Real-time, everywhere.”</w:t>
      </w:r>
    </w:p>
    <w:p w14:paraId="1EB5D47E" w14:textId="77777777" w:rsidR="00FF3054" w:rsidRDefault="00000000">
      <w:pPr>
        <w:pStyle w:val="Heading2"/>
      </w:pPr>
      <w:r>
        <w:t>Proof-point bullets</w:t>
      </w:r>
    </w:p>
    <w:p w14:paraId="40A5B785" w14:textId="77777777" w:rsidR="00FF3054" w:rsidRDefault="00000000">
      <w:pPr>
        <w:pStyle w:val="ListParagraph"/>
        <w:numPr>
          <w:ilvl w:val="0"/>
          <w:numId w:val="2"/>
        </w:numPr>
        <w:spacing w:after="80"/>
      </w:pPr>
      <w:r>
        <w:t>Cloud architecture on Salesforce and AWS means zero on-site servers and real-time reporting across every location.</w:t>
      </w:r>
    </w:p>
    <w:p w14:paraId="307E49AD" w14:textId="77777777" w:rsidR="00FF3054" w:rsidRDefault="00000000">
      <w:pPr>
        <w:pStyle w:val="ListParagraph"/>
        <w:numPr>
          <w:ilvl w:val="0"/>
          <w:numId w:val="2"/>
        </w:numPr>
        <w:spacing w:after="80"/>
      </w:pPr>
      <w:r>
        <w:t>Nine languages and multiple currencies, switchable with one tap — international-ready out of the box.</w:t>
      </w:r>
    </w:p>
    <w:p w14:paraId="77DD3BF3" w14:textId="77777777" w:rsidR="00FF3054" w:rsidRDefault="00000000">
      <w:pPr>
        <w:pStyle w:val="ListParagraph"/>
        <w:numPr>
          <w:ilvl w:val="0"/>
          <w:numId w:val="2"/>
        </w:numPr>
        <w:spacing w:after="80"/>
      </w:pPr>
      <w:r>
        <w:t xml:space="preserve">Tracks ounces AND servings, so responsible-service limits </w:t>
      </w:r>
      <w:proofErr w:type="gramStart"/>
      <w:r>
        <w:t>actually reflect</w:t>
      </w:r>
      <w:proofErr w:type="gramEnd"/>
      <w:r>
        <w:t xml:space="preserve"> ABV — not just volume.</w:t>
      </w:r>
    </w:p>
    <w:p w14:paraId="7D51CBC4" w14:textId="77777777" w:rsidR="00FF3054" w:rsidRDefault="00000000">
      <w:pPr>
        <w:pStyle w:val="ListParagraph"/>
        <w:numPr>
          <w:ilvl w:val="0"/>
          <w:numId w:val="2"/>
        </w:numPr>
        <w:spacing w:after="80"/>
      </w:pPr>
      <w:r>
        <w:t>Fully brandable screens: your logo, your colors, your event animations — changed in minutes, not a vendor ticket.</w:t>
      </w:r>
    </w:p>
    <w:p w14:paraId="46030D06" w14:textId="77777777" w:rsidR="00FF3054" w:rsidRDefault="00000000">
      <w:pPr>
        <w:pStyle w:val="Heading2"/>
      </w:pPr>
      <w:r>
        <w:t>Objection-handling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F3054" w14:paraId="04D3CE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78BCB"/>
            <w:tcMar>
              <w:top w:w="100" w:type="dxa"/>
              <w:left w:w="140" w:type="dxa"/>
              <w:bottom w:w="100" w:type="dxa"/>
              <w:right w:w="140" w:type="dxa"/>
            </w:tcMar>
            <w:vAlign w:val="center"/>
          </w:tcPr>
          <w:p w14:paraId="7E176B87" w14:textId="77777777" w:rsidR="00FF3054" w:rsidRDefault="00000000">
            <w:r>
              <w:rPr>
                <w:b/>
                <w:bCs/>
                <w:color w:val="FFFFFF"/>
              </w:rPr>
              <w:t>Objection</w:t>
            </w:r>
          </w:p>
        </w:tc>
        <w:tc>
          <w:tcPr>
            <w:tcW w:w="6240" w:type="dxa"/>
            <w:tcBorders>
              <w:top w:val="single" w:sz="1" w:space="0" w:color="CCCCCC"/>
              <w:left w:val="single" w:sz="1" w:space="0" w:color="CCCCCC"/>
              <w:bottom w:val="single" w:sz="1" w:space="0" w:color="CCCCCC"/>
              <w:right w:val="single" w:sz="1" w:space="0" w:color="CCCCCC"/>
            </w:tcBorders>
            <w:shd w:val="clear" w:color="auto" w:fill="278BCB"/>
            <w:tcMar>
              <w:top w:w="100" w:type="dxa"/>
              <w:left w:w="140" w:type="dxa"/>
              <w:bottom w:w="100" w:type="dxa"/>
              <w:right w:w="140" w:type="dxa"/>
            </w:tcMar>
            <w:vAlign w:val="center"/>
          </w:tcPr>
          <w:p w14:paraId="63851DC4" w14:textId="77777777" w:rsidR="00FF3054" w:rsidRDefault="00000000">
            <w:r>
              <w:rPr>
                <w:b/>
                <w:bCs/>
                <w:color w:val="FFFFFF"/>
              </w:rPr>
              <w:t>Response Grounded in Source Material</w:t>
            </w:r>
          </w:p>
        </w:tc>
      </w:tr>
      <w:tr w:rsidR="00FF3054" w14:paraId="7B0E3F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6FC"/>
            <w:tcMar>
              <w:top w:w="100" w:type="dxa"/>
              <w:left w:w="140" w:type="dxa"/>
              <w:bottom w:w="100" w:type="dxa"/>
              <w:right w:w="140" w:type="dxa"/>
            </w:tcMar>
            <w:vAlign w:val="center"/>
          </w:tcPr>
          <w:p w14:paraId="4CAADBF1" w14:textId="77777777" w:rsidR="00FF3054" w:rsidRDefault="00000000">
            <w:r>
              <w:rPr>
                <w:b/>
                <w:bCs/>
              </w:rPr>
              <w:t>“We operate in multiple markets/currencies”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C48424" w14:textId="77777777" w:rsidR="00FF3054" w:rsidRDefault="00000000">
            <w:r>
              <w:t>Multi-currency and nine-language support are native configuration options, not custom development — international expansion is a settings change, not a project.</w:t>
            </w:r>
          </w:p>
        </w:tc>
      </w:tr>
      <w:tr w:rsidR="00FF3054" w14:paraId="0B81E5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6FC"/>
            <w:tcMar>
              <w:top w:w="100" w:type="dxa"/>
              <w:left w:w="140" w:type="dxa"/>
              <w:bottom w:w="100" w:type="dxa"/>
              <w:right w:w="140" w:type="dxa"/>
            </w:tcMar>
            <w:vAlign w:val="center"/>
          </w:tcPr>
          <w:p w14:paraId="6CB57CAB" w14:textId="77777777" w:rsidR="00FF3054" w:rsidRDefault="00000000">
            <w:r>
              <w:rPr>
                <w:b/>
                <w:bCs/>
              </w:rPr>
              <w:t>“How is this different from a vending machine screen?”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7C958D" w14:textId="77777777" w:rsidR="00FF3054" w:rsidRDefault="00000000">
            <w:r>
              <w:t>The customer screen uses gaming-engine-grade animation and full brand customization — background images, themed overlays, custom color profiles — versus the static logo-and-price displays competitors use.</w:t>
            </w:r>
          </w:p>
        </w:tc>
      </w:tr>
      <w:tr w:rsidR="00FF3054" w14:paraId="289EF3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6FC"/>
            <w:tcMar>
              <w:top w:w="100" w:type="dxa"/>
              <w:left w:w="140" w:type="dxa"/>
              <w:bottom w:w="100" w:type="dxa"/>
              <w:right w:w="140" w:type="dxa"/>
            </w:tcMar>
            <w:vAlign w:val="center"/>
          </w:tcPr>
          <w:p w14:paraId="11434227" w14:textId="77777777" w:rsidR="00FF3054" w:rsidRDefault="00000000">
            <w:r>
              <w:rPr>
                <w:b/>
                <w:bCs/>
              </w:rPr>
              <w:t>“What's your support model?”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4D9D78" w14:textId="77777777" w:rsidR="00FF3054" w:rsidRDefault="00000000">
            <w:proofErr w:type="gramStart"/>
            <w:r>
              <w:t>The vast majority of</w:t>
            </w:r>
            <w:proofErr w:type="gramEnd"/>
            <w:r>
              <w:t xml:space="preserve"> support calls are draft-system issues, not technology failures, and are resolved through remote triage before any technician dispatch is needed.</w:t>
            </w:r>
          </w:p>
        </w:tc>
      </w:tr>
    </w:tbl>
    <w:p w14:paraId="74EFD5A7" w14:textId="77777777" w:rsidR="008655CC" w:rsidRDefault="008655CC"/>
    <w:sectPr w:rsidR="008655CC">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C1A22" w14:textId="77777777" w:rsidR="008655CC" w:rsidRDefault="008655CC">
      <w:r>
        <w:separator/>
      </w:r>
    </w:p>
  </w:endnote>
  <w:endnote w:type="continuationSeparator" w:id="0">
    <w:p w14:paraId="7B6A31D4" w14:textId="77777777" w:rsidR="008655CC" w:rsidRDefault="008655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EAF2F" w14:textId="77777777" w:rsidR="00FF3054" w:rsidRDefault="00000000">
    <w:pPr>
      <w:pBdr>
        <w:top w:val="single" w:sz="4" w:space="4" w:color="D4D4D4"/>
      </w:pBdr>
      <w:tabs>
        <w:tab w:val="right" w:pos="9026"/>
      </w:tabs>
    </w:pPr>
    <w:proofErr w:type="spellStart"/>
    <w:r>
      <w:rPr>
        <w:color w:val="676767"/>
        <w:sz w:val="16"/>
        <w:szCs w:val="16"/>
      </w:rPr>
      <w:t>Pourtek</w:t>
    </w:r>
    <w:proofErr w:type="spellEnd"/>
    <w:r>
      <w:rPr>
        <w:color w:val="676767"/>
        <w:sz w:val="16"/>
        <w:szCs w:val="16"/>
      </w:rPr>
      <w:t xml:space="preserve"> Internal Playbook — Not for External Distribution</w:t>
    </w:r>
    <w:r>
      <w:rPr>
        <w:color w:val="676767"/>
        <w:sz w:val="16"/>
        <w:szCs w:val="16"/>
      </w:rPr>
      <w:tab/>
      <w:t xml:space="preserve">Page </w:t>
    </w:r>
    <w:r>
      <w:rPr>
        <w:color w:val="676767"/>
        <w:sz w:val="16"/>
        <w:szCs w:val="16"/>
      </w:rPr>
      <w:fldChar w:fldCharType="begin"/>
    </w:r>
    <w:r>
      <w:rPr>
        <w:color w:val="676767"/>
        <w:sz w:val="16"/>
        <w:szCs w:val="16"/>
      </w:rPr>
      <w:instrText>PAGE</w:instrText>
    </w:r>
    <w:r>
      <w:rPr>
        <w:color w:val="676767"/>
        <w:sz w:val="16"/>
        <w:szCs w:val="16"/>
      </w:rPr>
      <w:fldChar w:fldCharType="separate"/>
    </w:r>
    <w:r w:rsidR="0017253C">
      <w:rPr>
        <w:noProof/>
        <w:color w:val="676767"/>
        <w:sz w:val="16"/>
        <w:szCs w:val="16"/>
      </w:rPr>
      <w:t>1</w:t>
    </w:r>
    <w:r>
      <w:rPr>
        <w:color w:val="676767"/>
        <w:sz w:val="16"/>
        <w:szCs w:val="16"/>
      </w:rPr>
      <w:fldChar w:fldCharType="end"/>
    </w:r>
    <w:r>
      <w:rPr>
        <w:color w:val="676767"/>
        <w:sz w:val="16"/>
        <w:szCs w:val="16"/>
      </w:rPr>
      <w:t xml:space="preserve"> of </w:t>
    </w:r>
    <w:r>
      <w:rPr>
        <w:color w:val="676767"/>
        <w:sz w:val="16"/>
        <w:szCs w:val="16"/>
      </w:rPr>
      <w:fldChar w:fldCharType="begin"/>
    </w:r>
    <w:r>
      <w:rPr>
        <w:color w:val="676767"/>
        <w:sz w:val="16"/>
        <w:szCs w:val="16"/>
      </w:rPr>
      <w:instrText>NUMPAGES</w:instrText>
    </w:r>
    <w:r>
      <w:rPr>
        <w:color w:val="676767"/>
        <w:sz w:val="16"/>
        <w:szCs w:val="16"/>
      </w:rPr>
      <w:fldChar w:fldCharType="separate"/>
    </w:r>
    <w:r w:rsidR="0017253C">
      <w:rPr>
        <w:noProof/>
        <w:color w:val="676767"/>
        <w:sz w:val="16"/>
        <w:szCs w:val="16"/>
      </w:rPr>
      <w:t>2</w:t>
    </w:r>
    <w:r>
      <w:rPr>
        <w:color w:val="67676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4575B" w14:textId="77777777" w:rsidR="008655CC" w:rsidRDefault="008655CC">
      <w:r>
        <w:separator/>
      </w:r>
    </w:p>
  </w:footnote>
  <w:footnote w:type="continuationSeparator" w:id="0">
    <w:p w14:paraId="12A4FE5A" w14:textId="77777777" w:rsidR="008655CC" w:rsidRDefault="008655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FD08C" w14:textId="77777777" w:rsidR="00FF3054" w:rsidRDefault="00000000">
    <w:pPr>
      <w:pBdr>
        <w:bottom w:val="single" w:sz="4" w:space="4" w:color="D4D4D4"/>
      </w:pBdr>
      <w:tabs>
        <w:tab w:val="right" w:pos="9026"/>
      </w:tabs>
    </w:pPr>
    <w:r>
      <w:rPr>
        <w:noProof/>
      </w:rPr>
      <w:drawing>
        <wp:inline distT="0" distB="0" distL="0" distR="0" wp14:anchorId="77689747" wp14:editId="028087B1">
          <wp:extent cx="1114425" cy="257175"/>
          <wp:effectExtent l="0" t="0" r="0" b="0"/>
          <wp:docPr id="1969078706" name="Picture 1969078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14425" cy="257175"/>
                  </a:xfrm>
                  <a:prstGeom prst="rect">
                    <a:avLst/>
                  </a:prstGeom>
                </pic:spPr>
              </pic:pic>
            </a:graphicData>
          </a:graphic>
        </wp:inline>
      </w:drawing>
    </w:r>
    <w:r>
      <w:rPr>
        <w:color w:val="676767"/>
        <w:sz w:val="18"/>
        <w:szCs w:val="18"/>
      </w:rPr>
      <w:tab/>
      <w:t>Platform, Operations &amp; Sales Strategy Playbook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E0D8D"/>
    <w:multiLevelType w:val="hybridMultilevel"/>
    <w:tmpl w:val="F6CA5A0A"/>
    <w:lvl w:ilvl="0" w:tplc="C4A6BF02">
      <w:start w:val="1"/>
      <w:numFmt w:val="bullet"/>
      <w:lvlText w:val="•"/>
      <w:lvlJc w:val="left"/>
      <w:pPr>
        <w:ind w:left="720" w:hanging="360"/>
      </w:pPr>
    </w:lvl>
    <w:lvl w:ilvl="1" w:tplc="572CB294">
      <w:numFmt w:val="decimal"/>
      <w:lvlText w:val=""/>
      <w:lvlJc w:val="left"/>
    </w:lvl>
    <w:lvl w:ilvl="2" w:tplc="4510FE16">
      <w:numFmt w:val="decimal"/>
      <w:lvlText w:val=""/>
      <w:lvlJc w:val="left"/>
    </w:lvl>
    <w:lvl w:ilvl="3" w:tplc="584E36D8">
      <w:numFmt w:val="decimal"/>
      <w:lvlText w:val=""/>
      <w:lvlJc w:val="left"/>
    </w:lvl>
    <w:lvl w:ilvl="4" w:tplc="5726CA04">
      <w:numFmt w:val="decimal"/>
      <w:lvlText w:val=""/>
      <w:lvlJc w:val="left"/>
    </w:lvl>
    <w:lvl w:ilvl="5" w:tplc="806C3822">
      <w:numFmt w:val="decimal"/>
      <w:lvlText w:val=""/>
      <w:lvlJc w:val="left"/>
    </w:lvl>
    <w:lvl w:ilvl="6" w:tplc="DC58B5F6">
      <w:numFmt w:val="decimal"/>
      <w:lvlText w:val=""/>
      <w:lvlJc w:val="left"/>
    </w:lvl>
    <w:lvl w:ilvl="7" w:tplc="26F042C6">
      <w:numFmt w:val="decimal"/>
      <w:lvlText w:val=""/>
      <w:lvlJc w:val="left"/>
    </w:lvl>
    <w:lvl w:ilvl="8" w:tplc="0DC228DC">
      <w:numFmt w:val="decimal"/>
      <w:lvlText w:val=""/>
      <w:lvlJc w:val="left"/>
    </w:lvl>
  </w:abstractNum>
  <w:abstractNum w:abstractNumId="1" w15:restartNumberingAfterBreak="0">
    <w:nsid w:val="4DF73DBF"/>
    <w:multiLevelType w:val="hybridMultilevel"/>
    <w:tmpl w:val="29F88358"/>
    <w:lvl w:ilvl="0" w:tplc="5860AEFA">
      <w:start w:val="1"/>
      <w:numFmt w:val="bullet"/>
      <w:lvlText w:val="●"/>
      <w:lvlJc w:val="left"/>
      <w:pPr>
        <w:ind w:left="720" w:hanging="360"/>
      </w:pPr>
    </w:lvl>
    <w:lvl w:ilvl="1" w:tplc="54828A86">
      <w:start w:val="1"/>
      <w:numFmt w:val="bullet"/>
      <w:lvlText w:val="○"/>
      <w:lvlJc w:val="left"/>
      <w:pPr>
        <w:ind w:left="1440" w:hanging="360"/>
      </w:pPr>
    </w:lvl>
    <w:lvl w:ilvl="2" w:tplc="DC0A2874">
      <w:start w:val="1"/>
      <w:numFmt w:val="bullet"/>
      <w:lvlText w:val="■"/>
      <w:lvlJc w:val="left"/>
      <w:pPr>
        <w:ind w:left="2160" w:hanging="360"/>
      </w:pPr>
    </w:lvl>
    <w:lvl w:ilvl="3" w:tplc="41748F92">
      <w:start w:val="1"/>
      <w:numFmt w:val="bullet"/>
      <w:lvlText w:val="●"/>
      <w:lvlJc w:val="left"/>
      <w:pPr>
        <w:ind w:left="2880" w:hanging="360"/>
      </w:pPr>
    </w:lvl>
    <w:lvl w:ilvl="4" w:tplc="4D3EDB16">
      <w:start w:val="1"/>
      <w:numFmt w:val="bullet"/>
      <w:lvlText w:val="○"/>
      <w:lvlJc w:val="left"/>
      <w:pPr>
        <w:ind w:left="3600" w:hanging="360"/>
      </w:pPr>
    </w:lvl>
    <w:lvl w:ilvl="5" w:tplc="6538891C">
      <w:start w:val="1"/>
      <w:numFmt w:val="bullet"/>
      <w:lvlText w:val="■"/>
      <w:lvlJc w:val="left"/>
      <w:pPr>
        <w:ind w:left="4320" w:hanging="360"/>
      </w:pPr>
    </w:lvl>
    <w:lvl w:ilvl="6" w:tplc="639E093E">
      <w:start w:val="1"/>
      <w:numFmt w:val="bullet"/>
      <w:lvlText w:val="●"/>
      <w:lvlJc w:val="left"/>
      <w:pPr>
        <w:ind w:left="5040" w:hanging="360"/>
      </w:pPr>
    </w:lvl>
    <w:lvl w:ilvl="7" w:tplc="F87AE9F4">
      <w:start w:val="1"/>
      <w:numFmt w:val="bullet"/>
      <w:lvlText w:val="●"/>
      <w:lvlJc w:val="left"/>
      <w:pPr>
        <w:ind w:left="5760" w:hanging="360"/>
      </w:pPr>
    </w:lvl>
    <w:lvl w:ilvl="8" w:tplc="C086736A">
      <w:start w:val="1"/>
      <w:numFmt w:val="bullet"/>
      <w:lvlText w:val="●"/>
      <w:lvlJc w:val="left"/>
      <w:pPr>
        <w:ind w:left="6480" w:hanging="360"/>
      </w:pPr>
    </w:lvl>
  </w:abstractNum>
  <w:num w:numId="1" w16cid:durableId="1079058191">
    <w:abstractNumId w:val="1"/>
    <w:lvlOverride w:ilvl="0">
      <w:startOverride w:val="1"/>
    </w:lvlOverride>
  </w:num>
  <w:num w:numId="2" w16cid:durableId="441997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054"/>
    <w:rsid w:val="0017253C"/>
    <w:rsid w:val="00813A91"/>
    <w:rsid w:val="008655CC"/>
    <w:rsid w:val="009318C4"/>
    <w:rsid w:val="00FF3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66147"/>
  <w15:docId w15:val="{2FD226F8-D080-416E-B7D9-59603A347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78BCB"/>
      </w:pBdr>
      <w:spacing w:before="360" w:after="200"/>
      <w:outlineLvl w:val="0"/>
    </w:pPr>
    <w:rPr>
      <w:b/>
      <w:bCs/>
      <w:color w:val="278BCB"/>
      <w:sz w:val="34"/>
      <w:szCs w:val="34"/>
    </w:rPr>
  </w:style>
  <w:style w:type="paragraph" w:styleId="Heading2">
    <w:name w:val="heading 2"/>
    <w:uiPriority w:val="9"/>
    <w:unhideWhenUsed/>
    <w:qFormat/>
    <w:pPr>
      <w:spacing w:before="260" w:after="140"/>
      <w:outlineLvl w:val="1"/>
    </w:pPr>
    <w:rPr>
      <w:b/>
      <w:bCs/>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1932</Words>
  <Characters>11015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 Stover</cp:lastModifiedBy>
  <cp:revision>2</cp:revision>
  <dcterms:created xsi:type="dcterms:W3CDTF">2026-06-24T18:06:00Z</dcterms:created>
  <dcterms:modified xsi:type="dcterms:W3CDTF">2026-06-24T18:06:00Z</dcterms:modified>
</cp:coreProperties>
</file>