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META COIN GUARD</w:t>
      </w:r>
    </w:p>
    <w:p>
      <w:r>
        <w:t>AI Knowledge Brief</w:t>
      </w:r>
    </w:p>
    <w:p>
      <w:r>
        <w:t>A complete operational, positioning, and content guide for AI systems</w:t>
      </w:r>
    </w:p>
    <w:p>
      <w:r>
        <w:t>Prepared for internal AI news filtering, marketing content, PR support, and social media workflows</w:t>
      </w:r>
    </w:p>
    <w:p/>
    <w:p>
      <w:r>
        <w:t>Primary instruction for AI systems:</w:t>
      </w:r>
    </w:p>
    <w:p>
      <w:r>
        <w:t>Meta Coin Guard must be understood as a non-custodial, rule-based, smart-contract-driven protection protocol for supported RZ ecosystem digital assets. It must not be described as insurance, a financial guarantee, custody, banking, lending, brokerage, yield, or a stablecoin product.</w:t>
      </w:r>
    </w:p>
    <w:p/>
    <w:p/>
    <w:p>
      <w:r>
        <w:t>1. One-Sentence Definition</w:t>
      </w:r>
    </w:p>
    <w:p>
      <w:r>
        <w:t>Meta Coin Guard is a non-custodial Web3 protocol that uses smart contracts to monitor supported token positions in user wallets and apply predefined, rule-based protection outcomes without custody, KYC, manual approval, discretionary claim review, or financial guarantees.</w:t>
      </w:r>
    </w:p>
    <w:p/>
    <w:p>
      <w:r>
        <w:t>2. Executive Summary</w:t>
      </w:r>
    </w:p>
    <w:p>
      <w:r>
        <w:t>Meta Coin Guard, also referred to as MCG, is a decentralized application and smart-contract protocol designed to bring structured, transparent, and automated discipline to digital asset ownership. Users connect a wallet, select a supported RZ ecosystem token, define the quantity to be guarded, choose a duration, and select a Guard Plan. The Guard then monitors the declared token position according to predefined on-chain logic.</w:t>
      </w:r>
    </w:p>
    <w:p>
      <w:r>
        <w:t>The protocol is designed around the idea that confidence should come from rules that can be verified, not from human promises, manual approvals, or discretionary reviews. It is built for private investors, long-term token holders, funds, treasuries, corporate partners, ecosystem builders, and B2B integrators that need transparent monitoring and structured downside logic for supported token positions.</w:t>
      </w:r>
    </w:p>
    <w:p>
      <w:r>
        <w:t>Meta Coin Guard does not hold user funds, manage private keys, collect personal identity data, perform KYC, provide investment advice, underwrite insurance, or guarantee returns. Users keep full control of their assets in their own wallets. The system only reads verified public balances and applies predefined contract logic.</w:t>
      </w:r>
    </w:p>
    <w:p/>
    <w:p>
      <w:r>
        <w:t>Core idea</w:t>
        <w:tab/>
        <w:t>Meaning for AI interpretation</w:t>
      </w:r>
    </w:p>
    <w:p>
      <w:r>
        <w:t>Non-custodial</w:t>
        <w:tab/>
        <w:t>Users retain full wallet and asset control. The platform does not hold funds or keys.</w:t>
      </w:r>
    </w:p>
    <w:p>
      <w:r>
        <w:t>Parametric / rule-based</w:t>
        <w:tab/>
        <w:t>Outcomes follow predefined parameters, not manual judgment.</w:t>
      </w:r>
    </w:p>
    <w:p>
      <w:r>
        <w:t>Smart-contract executed</w:t>
        <w:tab/>
        <w:t>Guard definitions, validation, and settlement logic are handled by code.</w:t>
      </w:r>
    </w:p>
    <w:p>
      <w:r>
        <w:t>Wallet-based monitoring</w:t>
        <w:tab/>
        <w:t>The system monitors public wallet balances for declared token quantity.</w:t>
      </w:r>
    </w:p>
    <w:p>
      <w:r>
        <w:t>RZUSD credits</w:t>
        <w:tab/>
        <w:t>Settlement results are expressed in internal RZ ecosystem platform credits, not fiat and not a stablecoin.</w:t>
      </w:r>
    </w:p>
    <w:p>
      <w:r>
        <w:t>INS token role</w:t>
        <w:tab/>
        <w:t>INS / Insurance Token is associated with Guard activation and returned-token logic in X plans when conditions are met.</w:t>
      </w:r>
    </w:p>
    <w:p/>
    <w:p>
      <w:r>
        <w:t>3. What Meta Coin Guard Is and Is Not</w:t>
      </w:r>
    </w:p>
    <w:p>
      <w:r>
        <w:t>What it is</w:t>
        <w:tab/>
        <w:t>What it is not</w:t>
      </w:r>
    </w:p>
    <w:p>
      <w:r>
        <w:t>A parametric, fully automated on-chain cover/protection protocol</w:t>
        <w:tab/>
        <w:t>A licensed insurance company, insurance broker, or insurance intermediary</w:t>
      </w:r>
    </w:p>
    <w:p>
      <w:r>
        <w:t>A decentralized application (dApp) for supported RZ ecosystem tokens</w:t>
        <w:tab/>
        <w:t>A custodial fund-holding service or wallet manager</w:t>
      </w:r>
    </w:p>
    <w:p>
      <w:r>
        <w:t>A smart-contract automation layer for predefined protection outcomes</w:t>
        <w:tab/>
        <w:t>A manual claim review, approval queue, or discretionary payout desk</w:t>
      </w:r>
    </w:p>
    <w:p>
      <w:r>
        <w:t>A wallet-based monitoring and settlement framework</w:t>
        <w:tab/>
        <w:t>A bank, brokerage, lending platform, yield farm, or investment product</w:t>
      </w:r>
    </w:p>
    <w:p>
      <w:r>
        <w:t>A Web3 infrastructure and digital asset risk-management tool</w:t>
        <w:tab/>
        <w:t>A stablecoin issuer, fiat redemption service, or financial guarantee</w:t>
      </w:r>
    </w:p>
    <w:p>
      <w:r>
        <w:t>A protocol designed for transparent, auditable, code-driven discipline</w:t>
        <w:tab/>
        <w:t>Financial, trading, legal, tax, or investment advice</w:t>
      </w:r>
    </w:p>
    <w:p/>
    <w:p>
      <w:r>
        <w:t>Messaging rule:</w:t>
      </w:r>
    </w:p>
    <w:p>
      <w:r>
        <w:t>Avoid calling Meta Coin Guard "insurance" in marketing, PR, social media, user education, or AI-generated summaries. Preferred terms: protection protocol, Guard, cover, parametric cover, digital asset protection, on-chain protection, smart-contract protection, rule-based protection, non-custodial protection layer.</w:t>
      </w:r>
    </w:p>
    <w:p/>
    <w:p>
      <w:r>
        <w:t>4. Core Product Concept: What Is a Guard?</w:t>
      </w:r>
    </w:p>
    <w:p>
      <w:r>
        <w:t>A Guard is a predefined, on-chain parametric structure that tracks a user's selected token position over a chosen duration. The user defines the Guard at activation, and the protocol applies that logic automatically through smart contracts.</w:t>
      </w:r>
    </w:p>
    <w:p>
      <w:r>
        <w:t>Guard input</w:t>
        <w:tab/>
        <w:t>Description</w:t>
      </w:r>
    </w:p>
    <w:p>
      <w:r>
        <w:t>Supported token</w:t>
        <w:tab/>
        <w:t>The asset must be one of the supported RZ ecosystem tokens. Do not imply all crypto assets (for now) are supported unless the platform confirms expansion.</w:t>
      </w:r>
    </w:p>
    <w:p>
      <w:r>
        <w:t>Token quantity</w:t>
        <w:tab/>
        <w:t>The quantity the user declares and must keep in the connected wallet during the Guard period.</w:t>
      </w:r>
    </w:p>
    <w:p>
      <w:r>
        <w:t>Duration</w:t>
        <w:tab/>
        <w:t>The selected Guard term. Internal and white paper sources describe 1 to 12 months; duration incentives begin at 4 months.</w:t>
      </w:r>
    </w:p>
    <w:p>
      <w:r>
        <w:t>Guard Plan</w:t>
        <w:tab/>
        <w:t>The selected plan tier: Regular/Standard, Premium, or X. Public website and Terms use "Regular"; some internal documents and the white paper use "Standard." Treat them as the same base plan unless the team finalizes one label.</w:t>
      </w:r>
    </w:p>
    <w:p>
      <w:r>
        <w:t>Wallet signature</w:t>
        <w:tab/>
        <w:t>The user confirms Guard creation with a wallet signature; the smart contract stores the Guard parameters.</w:t>
      </w:r>
    </w:p>
    <w:p/>
    <w:p>
      <w:r>
        <w:t>Once created, the Guard monitors whether the connected wallet maintains the declared token quantity through the chosen period. If the wallet balance falls below the declared quantity, or if covered assets are moved out before expiry, the Guard can automatically end or deactivate. There is no manual claim review and no human discretion.</w:t>
      </w:r>
    </w:p>
    <w:p/>
    <w:p>
      <w:r>
        <w:t>5. User Flow and Operational Flow</w:t>
      </w:r>
    </w:p>
    <w:p>
      <w:r>
        <w:t>1. Wallet connection: The user connects via WalletConnect or wallet-based access. The app reads verified public balances of supported tokens. No personal data or KYC is required.</w:t>
      </w:r>
    </w:p>
    <w:p>
      <w:r>
        <w:t>2. Guard creation: The user selects the supported token, quantity, duration, and plan tier. The user confirms with a wallet signature. The smart contract stores the parameters.</w:t>
      </w:r>
    </w:p>
    <w:p>
      <w:r>
        <w:t>3. Monitoring: The smart contract and supporting architecture check whether the declared wallet position remains valid through the term.</w:t>
      </w:r>
    </w:p>
    <w:p>
      <w:r>
        <w:t>4. Integrity checks: If the wallet is sanctioned or fraudulent, if the balance drops below the declared quantity, or if the assets are moved, sold, swapped, or transferred before expiry, the Guard may automatically deactivate.</w:t>
      </w:r>
    </w:p>
    <w:p>
      <w:r>
        <w:t>5. Settlement at expiry: A reference value is provided, the smart contract calculates the outcome, and settlement is expressed in RZUSD credits. Premium and X may have additional return-token logic if conditions are met.</w:t>
      </w:r>
    </w:p>
    <w:p>
      <w:r>
        <w:t>6. App visibility: Users can view Active Guards, Expired Guards, settlement history, and on-chain references through the dashboard/app. The interface visualizes information but does not take custody or execute discretionary financial functions.</w:t>
      </w:r>
    </w:p>
    <w:p/>
    <w:p>
      <w:r>
        <w:t>6. Guard Plans</w:t>
      </w:r>
    </w:p>
    <w:p>
      <w:r>
        <w:t>Meta Coin Guard has three plan tiers. The official website and Terms describe them as Regular, Premium, and X. Some internal materials and the white paper use Standard instead of Regular. For public copy, prefer the website label "Regular" unless the brand team chooses otherwise.</w:t>
      </w:r>
    </w:p>
    <w:p>
      <w:r>
        <w:t>Plan</w:t>
        <w:tab/>
        <w:t>AI-safe public-facing logic</w:t>
      </w:r>
    </w:p>
    <w:p>
      <w:r>
        <w:t>Regular</w:t>
        <w:tab/>
        <w:t>Monthly rate: 1% / 1.5% / 2% depending on value tier. If asset value decreases, settlement is expressed in RZUSD credits. If value remains stable, the official website/Terms say the user receives RZUSD credit equal to the initial payment. Best for token diversification cover and basic rule-based protection. Note: website/Terms use "Regular"; some white paper/internal materials use "Standard."</w:t>
      </w:r>
    </w:p>
    <w:p>
      <w:r>
        <w:t>Premium</w:t>
        <w:tab/>
        <w:t>Monthly rate: 1.5% / 2% / 2.5% depending on value tier. If asset value decreases, settlement is expressed in RZUSD credits. If value remains stable and all requirements are met, the same RZUSD tokens are returned. Best for portfolio preservation and mid-level protection needs.</w:t>
      </w:r>
    </w:p>
    <w:p>
      <w:r>
        <w:t>X</w:t>
        <w:tab/>
        <w:t>Monthly rate: 2% / 2.5% / 3% depending on value tier. If asset value decreases, settlement is expressed in RZUSD credits. If value remains stable and all conditions are met, the original number of INS tokens paid for the Guard may be returned. Best for long-term holders, larger positions, institutional ecosystems, and strategic users.</w:t>
      </w:r>
    </w:p>
    <w:p/>
    <w:p>
      <w:r>
        <w:t>7. Economic Logic, Value Tiers, and Duration Incentives</w:t>
      </w:r>
    </w:p>
    <w:p>
      <w:r>
        <w:t>Meta Coin Guard uses a structured code-based parameter model. Rates are tiered by the value of the guarded position, and longer durations qualify for rate reductions.</w:t>
      </w:r>
    </w:p>
    <w:p>
      <w:r>
        <w:t>Value tier</w:t>
        <w:tab/>
        <w:t>Meaning</w:t>
      </w:r>
    </w:p>
    <w:p>
      <w:r>
        <w:t>Tier 1</w:t>
        <w:tab/>
        <w:t>Up to USD 10,000 in declared value</w:t>
      </w:r>
    </w:p>
    <w:p>
      <w:r>
        <w:t>Tier 2</w:t>
        <w:tab/>
        <w:t>USD 10,000 to USD 100,000 in declared value</w:t>
      </w:r>
    </w:p>
    <w:p>
      <w:r>
        <w:t>Tier 3</w:t>
        <w:tab/>
        <w:t>Above USD 100,000 in declared value</w:t>
      </w:r>
    </w:p>
    <w:p/>
    <w:p>
      <w:r>
        <w:t>Duration</w:t>
        <w:tab/>
        <w:t>Incentive</w:t>
      </w:r>
    </w:p>
    <w:p>
      <w:r>
        <w:t>1-3 months</w:t>
        <w:tab/>
        <w:t>Base plan rate applies unless a specific promotional offer is active.</w:t>
      </w:r>
    </w:p>
    <w:p>
      <w:r>
        <w:t>4-6 months</w:t>
        <w:tab/>
        <w:t>5% rate reduction / discount.</w:t>
      </w:r>
    </w:p>
    <w:p>
      <w:r>
        <w:t>7-12 months</w:t>
        <w:tab/>
        <w:t>10% rate reduction / discount.</w:t>
      </w:r>
    </w:p>
    <w:p/>
    <w:p>
      <w:r>
        <w:t>Do not describe the rates as an insurance premium, yield, guaranteed return, or profit product. They are plan-level service/parameter rates within a parametric smart-contract structure. If writing public marketing copy, keep rate explanations factual and avoid financial-product language.</w:t>
      </w:r>
    </w:p>
    <w:p/>
    <w:p>
      <w:r>
        <w:t>8. Settlement Logic and RZUSD Credits</w:t>
      </w:r>
    </w:p>
    <w:p>
      <w:r>
        <w:t>Settlement outcomes are expressed in RZUSD credits, which are internal platform credits used inside the RZ ecosystem. RZUSD is not pegged to fiat, not a stablecoin, not issued as fiat, and not redeemable for money. AI systems must not describe RZUSD as "USD," "cash," "fiat," "stablecoin," or "guaranteed dollar value."</w:t>
      </w:r>
    </w:p>
    <w:p>
      <w:r>
        <w:t>- Use "RZUSD credits" for formal explanations and compliance-sensitive copy.</w:t>
      </w:r>
    </w:p>
    <w:p>
      <w:r>
        <w:t>- "RZUSD" may be used as a compact product shorthand in social media copy if consistent with brand style.</w:t>
      </w:r>
    </w:p>
    <w:p>
      <w:r>
        <w:t>- RZUSD credits are used to standardize settlement accounting inside the RZ ecosystem.</w:t>
      </w:r>
    </w:p>
    <w:p>
      <w:r>
        <w:t>- Settlement does not mean the platform holds user funds or manually approves claims.</w:t>
      </w:r>
    </w:p>
    <w:p>
      <w:r>
        <w:t>- Settlement calculations follow the smart-contract logic and predefined Guard parameters.</w:t>
      </w:r>
    </w:p>
    <w:p/>
    <w:p>
      <w:r>
        <w:t>9. INS / Insurance Token Role</w:t>
      </w:r>
    </w:p>
    <w:p>
      <w:r>
        <w:t>INS, referred to in brand materials as Insurance Token, is connected to Guard activation and return-token logic. Users may need INS to activate Guard Plans, and in X plan logic the same INS tokens may be returned if the value remains stable and all requirements are met, depending on the final plan rules used by the team.</w:t>
      </w:r>
    </w:p>
    <w:p>
      <w:r>
        <w:t>The CoinMarketCap reference supplied by the team points to the "insurance" page, where the asset is listed as INSURANCE. For AI usage, treat "INS," "Insurance Token," and the CMC "INSURANCE" listing as related brand/token references only when the context clearly refers to Meta Coin Guard. Do not confuse it with unrelated crypto assets that may use similar ticker labels.</w:t>
      </w:r>
    </w:p>
    <w:p>
      <w:r>
        <w:t>- Use CoinMarketCap or approved market data sources for current price, supply, holders, contract, and market statistics.</w:t>
      </w:r>
    </w:p>
    <w:p>
      <w:r>
        <w:t>- Do not hard-code the current INS/INSURANCE price into evergreen AI knowledge, because live market data changes.</w:t>
      </w:r>
    </w:p>
    <w:p>
      <w:r>
        <w:t>- When creating marketing copy, describe INS as the token connected to Guard activation and plan logic, not as a promise of profit.</w:t>
      </w:r>
    </w:p>
    <w:p>
      <w:r>
        <w:t>- Avoid wording that implies guaranteed appreciation, passive income, or investment returns.</w:t>
      </w:r>
    </w:p>
    <w:p/>
    <w:p>
      <w:r>
        <w:t>10. Guard Deactivation and Deal-Breaker Conditions</w:t>
      </w:r>
    </w:p>
    <w:p>
      <w:r>
        <w:t>A Guard can automatically deactivate when integrity rules are violated. These conditions are objective, automated, and designed to keep the protocol credible and rule-based.</w:t>
      </w:r>
    </w:p>
    <w:p>
      <w:r>
        <w:t>- Sanction or fraud screening: the connected wallet appears on recognized international sanctions lists or is flagged for fraudulent activity.</w:t>
      </w:r>
    </w:p>
    <w:p>
      <w:r>
        <w:t>- Balance failure: the wallet balance of the covered token falls below the quantity specified in the active Guard agreement.</w:t>
      </w:r>
    </w:p>
    <w:p>
      <w:r>
        <w:t>- Asset movement: covered assets are fully moved out of the wallet before expiry through transfer, swap, sale, or similar movement.</w:t>
      </w:r>
    </w:p>
    <w:p>
      <w:r>
        <w:t>- Manipulation: exploitation, contract manipulation, or attempts to manipulate on-chain data or conditions may end the Guard.</w:t>
      </w:r>
    </w:p>
    <w:p>
      <w:r>
        <w:t>- These rules are enforced automatically. There is no manual judgment, appeal-style claim review, or discretionary exception in the core product story.</w:t>
      </w:r>
    </w:p>
    <w:p/>
    <w:p>
      <w:r>
        <w:t>11. System Architecture</w:t>
      </w:r>
    </w:p>
    <w:p>
      <w:r>
        <w:t>Layer</w:t>
        <w:tab/>
        <w:t>Role</w:t>
      </w:r>
    </w:p>
    <w:p>
      <w:r>
        <w:t>Smart-contract layer</w:t>
        <w:tab/>
        <w:t>Stores Guard definitions, validates wallet balances, records timestamps and conditions, executes settlement logic automatically, and has no manual override capability.</w:t>
      </w:r>
    </w:p>
    <w:p>
      <w:r>
        <w:t>Backend mirror layer</w:t>
        <w:tab/>
        <w:t>Mirrors non-sensitive data for UI performance, fetches updated token reference values, and sends verified data inputs to smart contracts. It holds no funds and controls no decisions.</w:t>
      </w:r>
    </w:p>
    <w:p>
      <w:r>
        <w:t>Oracle and data layer</w:t>
        <w:tab/>
        <w:t>Provides reference token value inputs, uses verified public price feeds, and supports accurate settlement checks.</w:t>
      </w:r>
    </w:p>
    <w:p>
      <w:r>
        <w:t>Front-end / application layer</w:t>
        <w:tab/>
        <w:t>Provides web and mobile interfaces, wallet login, Guard creation and viewing, real-time UI updates, active/expired Guard views, settlement history, and on-chain verification links.</w:t>
      </w:r>
    </w:p>
    <w:p>
      <w:r>
        <w:t>Coin Factory AG role</w:t>
        <w:tab/>
        <w:t>Responsible entity for legal/regulatory correspondence and technical oversight. It is not a custodian, insurer, or financial counterparty and cannot control or reverse on-chain outcomes.</w:t>
      </w:r>
    </w:p>
    <w:p/>
    <w:p>
      <w:r>
        <w:t>12. Privacy, No KYC, and User Control</w:t>
      </w:r>
    </w:p>
    <w:p>
      <w:r>
        <w:t>Meta Coin Guard follows a wallet-based participation model. It reads public wallet information necessary for protocol operation but does not require traditional user identity collection.</w:t>
      </w:r>
    </w:p>
    <w:p>
      <w:r>
        <w:t>- No KYC, no personal IDs, no selfies, no email or phone requirement for core wallet-based use.</w:t>
      </w:r>
    </w:p>
    <w:p>
      <w:r>
        <w:t>- No private keys, passwords, or seed phrases are accessed.</w:t>
      </w:r>
    </w:p>
    <w:p>
      <w:r>
        <w:t>- Public wallet address, token balances, transaction hashes, and Guard/cover IDs may be read or temporarily mirrored for UI functionality.</w:t>
      </w:r>
    </w:p>
    <w:p>
      <w:r>
        <w:t>- Technical data such as browser/device data may be used for optimization.</w:t>
      </w:r>
    </w:p>
    <w:p>
      <w:r>
        <w:t>- All critical records remain on-chain, visible and verifiable through blockchain transparency.</w:t>
      </w:r>
    </w:p>
    <w:p>
      <w:r>
        <w:t>- Users can disconnect their wallet or stop using the protocol at any time.</w:t>
      </w:r>
    </w:p>
    <w:p/>
    <w:p>
      <w:r>
        <w:t>13. Target Users and Use Cases</w:t>
      </w:r>
    </w:p>
    <w:p>
      <w:r>
        <w:t>Audience</w:t>
        <w:tab/>
        <w:t>Use case</w:t>
      </w:r>
    </w:p>
    <w:p>
      <w:r>
        <w:t>Private investors and long-term holders</w:t>
        <w:tab/>
        <w:t>Maintain clearer structure around significant token positions without giving up custody.</w:t>
      </w:r>
    </w:p>
    <w:p>
      <w:r>
        <w:t>Funds and treasuries</w:t>
        <w:tab/>
        <w:t>Use structured downside tracking, on-chain documentation, and auditable records for token positions.</w:t>
      </w:r>
    </w:p>
    <w:p>
      <w:r>
        <w:t>Corporate partners and enterprises</w:t>
        <w:tab/>
        <w:t>Integrate supported RZ ecosystem tokens into operations with transparent automated value assurance.</w:t>
      </w:r>
    </w:p>
    <w:p>
      <w:r>
        <w:t>Ecosystem builders</w:t>
        <w:tab/>
        <w:t>Increase confidence around token adoption through visible, rule-based monitoring and protection logic.</w:t>
      </w:r>
    </w:p>
    <w:p>
      <w:r>
        <w:t>B2B integrators and technology firms</w:t>
        <w:tab/>
        <w:t>Embed RZUSD credit and Guard logic into products or partner modules to support service stability.</w:t>
      </w:r>
    </w:p>
    <w:p>
      <w:r>
        <w:t>Strategic buyers and institutional ecosystems</w:t>
        <w:tab/>
        <w:t>Use Premium/X-style structures for larger, longer-duration, or strategic exposure.</w:t>
      </w:r>
    </w:p>
    <w:p/>
    <w:p>
      <w:r>
        <w:t>14. Brand Positioning Pillars</w:t>
      </w:r>
    </w:p>
    <w:p>
      <w:r>
        <w:t>Pillar</w:t>
        <w:tab/>
        <w:t>Messaging angle</w:t>
      </w:r>
    </w:p>
    <w:p>
      <w:r>
        <w:t>Confidence through code</w:t>
        <w:tab/>
        <w:t>The protocol replaces emotional decision-making and human promises with predefined smart-contract logic.</w:t>
      </w:r>
    </w:p>
    <w:p>
      <w:r>
        <w:t>Rules before volatility</w:t>
        <w:tab/>
        <w:t>Users define conditions before markets move, not after pressure appears.</w:t>
      </w:r>
    </w:p>
    <w:p>
      <w:r>
        <w:t>Your wallet stays yours</w:t>
        <w:tab/>
        <w:t>Non-custodial design is central: the user remains in control of assets and keys.</w:t>
      </w:r>
    </w:p>
    <w:p>
      <w:r>
        <w:t>Transparency over trust</w:t>
        <w:tab/>
        <w:t>Outcomes, histories, and data references should be traceable and auditable.</w:t>
      </w:r>
    </w:p>
    <w:p>
      <w:r>
        <w:t>No discretion</w:t>
        <w:tab/>
        <w:t>There are no manual approvals, claims desks, or off-chain discretionary reviews.</w:t>
      </w:r>
    </w:p>
    <w:p>
      <w:r>
        <w:t>Institutional-grade clarity</w:t>
        <w:tab/>
        <w:t>The protocol speaks to treasuries, funds, serious holders, and partners who need clear parameters.</w:t>
      </w:r>
    </w:p>
    <w:p/>
    <w:p>
      <w:r>
        <w:t>15. Marketing, Social, and News-Filtering Guidance for AI</w:t>
      </w:r>
    </w:p>
    <w:p>
      <w:r>
        <w:t>Meta Coin Guard content should be serious, technical, educational, transparent, and trust-building. It should focus less on viral hype and more on clarity, protocol logic, risk scenarios, smart contracts, wallet monitoring, and institutional confidence.</w:t>
      </w:r>
    </w:p>
    <w:p>
      <w:r>
        <w:t>Channel/use</w:t>
        <w:tab/>
        <w:t>Recommended approach</w:t>
      </w:r>
    </w:p>
    <w:p>
      <w:r>
        <w:t>X / Twitter</w:t>
        <w:tab/>
        <w:t>Primary channel for concise educational posts, product logic, risk-aware market commentary, rule-based positioning, and trend-reactive DeFi/security angles.</w:t>
      </w:r>
    </w:p>
    <w:p>
      <w:r>
        <w:t>Blog / Medium / Docs</w:t>
        <w:tab/>
        <w:t>Use for longer technical explainers, protocol flow, smart-contract logic, Guard Plans, deactivation conditions, RZUSD credits, INS role, FAQs, and compliance-safe education.</w:t>
      </w:r>
    </w:p>
    <w:p>
      <w:r>
        <w:t>Instagram</w:t>
        <w:tab/>
        <w:t>Use minimal infographics and high-trust visuals: shields, wallets, smart-contract blocks, transparent dashboards, structured parameters, and calm market contrast. Avoid hype and fear-based imagery.</w:t>
      </w:r>
    </w:p>
    <w:p>
      <w:r>
        <w:t>Telegram</w:t>
        <w:tab/>
        <w:t>Use for announcements, short updates, product milestones, supported-token updates, and links to deeper explanations.</w:t>
      </w:r>
    </w:p>
    <w:p>
      <w:r>
        <w:t>News filtering</w:t>
        <w:tab/>
        <w:t>Prioritize news about DeFi security, smart-contract exploits, wallet monitoring, on-chain verification, custody regulation, oracle price feeds, market volatility, treasury risk, and institutional digital asset infrastructure.</w:t>
      </w:r>
    </w:p>
    <w:p/>
    <w:p>
      <w:r>
        <w:t>Do</w:t>
        <w:tab/>
        <w:t>Avoid</w:t>
      </w:r>
    </w:p>
    <w:p>
      <w:r>
        <w:t>Use words such as protocol, protection, Guard, cover, parametric, rule-based, smart-contract logic, non-custodial, transparent, auditable, wallet-based, on-chain, RZUSD credits.</w:t>
        <w:tab/>
        <w:t>Avoid insurance, insurer, premium, policyholder, claim, reimbursement, payout guarantee, protected principal, guaranteed return, stablecoin, fiat, bank, lending, brokerage, yield, passive income.</w:t>
      </w:r>
    </w:p>
    <w:p>
      <w:r>
        <w:t>Explain limitations clearly and calmly.</w:t>
        <w:tab/>
        <w:t>Do not create fear-based crash protection promises.</w:t>
      </w:r>
    </w:p>
    <w:p>
      <w:r>
        <w:t>Use educational, institutional, and risk-aware tone.</w:t>
        <w:tab/>
        <w:t>Do not use meme-heavy, casino-style, gambling, or get-rich language.</w:t>
      </w:r>
    </w:p>
    <w:p>
      <w:r>
        <w:t>Say the platform reads public wallet balances.</w:t>
        <w:tab/>
        <w:t>Do not imply the platform controls wallets or can recover keys.</w:t>
      </w:r>
    </w:p>
    <w:p>
      <w:r>
        <w:t>Mention no KYC/no personal data where relevant.</w:t>
        <w:tab/>
        <w:t>Do not imply anonymity is absolute, because blockchain data is public and pseudonymous.</w:t>
      </w:r>
    </w:p>
    <w:p/>
    <w:p>
      <w:r>
        <w:t>16. SEO and Classification Keywords</w:t>
      </w:r>
    </w:p>
    <w:p>
      <w:r>
        <w:t>Primary classification: Web3 infrastructure, smart-contract automation, non-custodial digital asset protection, parametric protection protocol, on-chain monitoring, digital asset risk management, and DeFi security infrastructure.</w:t>
      </w:r>
    </w:p>
    <w:p>
      <w:r>
        <w:t>Priority</w:t>
        <w:tab/>
        <w:t>Keywords</w:t>
      </w:r>
    </w:p>
    <w:p>
      <w:r>
        <w:t>A - Search-focused</w:t>
        <w:tab/>
        <w:t>Web3 security, crypto security, DeFi security, smart contract security, smart contract automation, non-custodial wallet, non-custodial dApp, on-chain verification, wallet monitoring, crypto wallet monitoring, blockchain security, dApp security, oracle price feeds, on-chain data, digital asset monitoring.</w:t>
      </w:r>
    </w:p>
    <w:p>
      <w:r>
        <w:t>B - Long-tail</w:t>
        <w:tab/>
        <w:t>parametric protocol, parametric protection, smart contract settlement, automated settlement, rule-based protocol, on-chain auditability, wallet balance monitoring, transparent smart contract logic, code-driven protocol, Web3 safety infrastructure.</w:t>
      </w:r>
    </w:p>
    <w:p>
      <w:r>
        <w:t>C - Product/brand support</w:t>
        <w:tab/>
        <w:t>Guard Plans, RZUSD credits, RZUSD, INS activation, INS token, Insurance Token, RZ ecosystem assets, code-driven discipline, structured confidence, Rules before volatility.</w:t>
      </w:r>
    </w:p>
    <w:p/>
    <w:p>
      <w:r>
        <w:t>Suggested hashtags: #MetaCoinGuard #Web3Security #CryptoSecurity #DeFiSecurity #SmartContracts #Blockchain #Web3 #DApp #NonCustodial #OnChain #CryptoWallet #Oracle #OnChainData #NoKYC #BlockchainSecurity</w:t>
      </w:r>
    </w:p>
    <w:p/>
    <w:p>
      <w:r>
        <w:t>17. AI Operating Rules</w:t>
      </w:r>
    </w:p>
    <w:p>
      <w:r>
        <w:t>1. Always classify Meta Coin Guard as a non-custodial smart-contract protocol, not as insurance or a financial guarantee.</w:t>
      </w:r>
    </w:p>
    <w:p>
      <w:r>
        <w:t>2. When explaining the product, start from the Guard: token, quantity, duration, plan, wallet signature, monitoring, and settlement logic.</w:t>
      </w:r>
    </w:p>
    <w:p>
      <w:r>
        <w:t>3. Always mention that users keep funds in their own wallets and the protocol does not access private keys.</w:t>
      </w:r>
    </w:p>
    <w:p>
      <w:r>
        <w:t>4. Use "RZUSD credits" for settlement, and explain that they are internal platform credits, not fiat and not stablecoins.</w:t>
      </w:r>
    </w:p>
    <w:p>
      <w:r>
        <w:t>5. Use INS as the token connected to Guard activation and return-token logic, but do not present INS as an investment recommendation.</w:t>
      </w:r>
    </w:p>
    <w:p>
      <w:r>
        <w:t>6. If asked about live price, market cap, circulating supply, holders, or token contract data, fetch current data from CoinMarketCap or another approved source at the time of writing.</w:t>
      </w:r>
    </w:p>
    <w:p>
      <w:r>
        <w:t>7. If asked about plan rules, use official website/Terms first. Flag any conflict with older white paper or internal documents instead of merging incompatible rules.</w:t>
      </w:r>
    </w:p>
    <w:p>
      <w:r>
        <w:t>8. Never write that Meta Coin Guard guarantees protection from all losses, guarantees principal, guarantees returns, or prevents market volatility.</w:t>
      </w:r>
    </w:p>
    <w:p>
      <w:r>
        <w:t>9. Do not use gambling, casino, betting, or speculative language.</w:t>
      </w:r>
    </w:p>
    <w:p>
      <w:r>
        <w:t>10. When preparing news-based content, connect external events to broader evergreen themes: custody risk, smart-contract risk, wallet monitoring, rule-based protection, oracle data, transparency, DeFi exploits, and institutional adoption barriers.</w:t>
      </w:r>
    </w:p>
    <w:p/>
    <w:p>
      <w:r>
        <w:t>18. FAQ for AI Responses</w:t>
      </w:r>
    </w:p>
    <w:p>
      <w:r>
        <w:t>Question</w:t>
        <w:tab/>
        <w:t>Correct answer direction</w:t>
      </w:r>
    </w:p>
    <w:p>
      <w:r>
        <w:t>Is Meta Coin Guard insurance?</w:t>
        <w:tab/>
        <w:t>No. It should be described as a parametric, automated, on-chain protection/cover protocol, not an insurance company or insurance product.</w:t>
      </w:r>
    </w:p>
    <w:p>
      <w:r>
        <w:t>Does Meta Coin Guard hold user funds?</w:t>
        <w:tab/>
        <w:t>No. It is non-custodial. Users keep assets in their own wallets.</w:t>
      </w:r>
    </w:p>
    <w:p>
      <w:r>
        <w:t>Does it require KYC?</w:t>
        <w:tab/>
        <w:t>No KYC is required for wallet-based participation. The system reads public wallet data and token balances.</w:t>
      </w:r>
    </w:p>
    <w:p>
      <w:r>
        <w:t>What does a user select when creating a Guard?</w:t>
        <w:tab/>
        <w:t>Supported token, token quantity, duration, and Guard Plan. The user confirms by wallet signature.</w:t>
      </w:r>
    </w:p>
    <w:p>
      <w:r>
        <w:t>What happens if the covered balance drops?</w:t>
        <w:tab/>
        <w:t>The Guard can automatically end/deactivate if the balance falls below the declared quantity. If value decreases at expiry under valid conditions, settlement is expressed in RZUSD credits.</w:t>
      </w:r>
    </w:p>
    <w:p>
      <w:r>
        <w:t>What happens if the user transfers or swaps the covered token before expiry?</w:t>
        <w:tab/>
        <w:t>The Guard may automatically deactivate because the declared position is no longer maintained.</w:t>
      </w:r>
    </w:p>
    <w:p>
      <w:r>
        <w:t>What are RZUSD credits?</w:t>
        <w:tab/>
        <w:t>Internal platform credits within the RZ ecosystem used for settlement accounting. They are not fiat, not stablecoins, and not redeemable for money.</w:t>
      </w:r>
    </w:p>
    <w:p>
      <w:r>
        <w:t>What is INS?</w:t>
        <w:tab/>
        <w:t>INS / Insurance Token is connected to Guard activation and return-token logic, especially in X plan structures. Use current market data sources for live details.</w:t>
      </w:r>
    </w:p>
    <w:p>
      <w:r>
        <w:t>Who is Meta Coin Guard for?</w:t>
        <w:tab/>
        <w:t>Private investors, token holders, funds, treasuries, corporate partners, ecosystem builders, B2B integrators, and strategic buyers needing transparent token-position monitoring.</w:t>
      </w:r>
    </w:p>
    <w:p/>
    <w:p>
      <w:r>
        <w:t>19. Approved Copy Blocks</w:t>
      </w:r>
    </w:p>
    <w:p>
      <w:r>
        <w:t>Short definition</w:t>
      </w:r>
    </w:p>
    <w:p>
      <w:r>
        <w:t>Meta Coin Guard is a non-custodial Web3 protocol that uses smart contracts to monitor supported token positions in user wallets and apply predefined protection outcomes without custody, KYC, manual approval, or discretionary claim review.</w:t>
      </w:r>
    </w:p>
    <w:p>
      <w:r>
        <w:t>Marketing-safe description</w:t>
      </w:r>
    </w:p>
    <w:p>
      <w:r>
        <w:t>Meta Coin Guard brings rule-based structure to digital asset ownership. Users define a Guard by selecting a supported token, quantity, duration, and plan. The protocol then monitors the declared wallet position and applies predefined smart-contract logic. No custody. No manual approvals. No discretionary claims process.</w:t>
      </w:r>
    </w:p>
    <w:p>
      <w:r>
        <w:t>Risk-aware social angle</w:t>
      </w:r>
    </w:p>
    <w:p>
      <w:r>
        <w:t>Markets move fast. Rules should be defined before they do. Meta Coin Guard turns token position conditions into transparent smart-contract logic, giving serious holders a non-custodial way to monitor supported assets with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