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9" w:name="software-development-plan"/>
    <w:p>
      <w:pPr>
        <w:pStyle w:val="Heading1"/>
      </w:pPr>
      <w:r>
        <w:t xml:space="preserve">Software Development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NOVA-SDP-001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Conforms to</w:t>
            </w:r>
          </w:p>
        </w:tc>
        <w:tc>
          <w:tcPr/>
          <w:p>
            <w:pPr>
              <w:pStyle w:val="Compact"/>
            </w:pPr>
            <w:r>
              <w:t xml:space="preserve">ISO/IEC/IEEE 16326:2019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" w:name="Xc8951b796c7b61cbdd4998c72efbdeed0056e13"/>
    <w:p>
      <w:pPr>
        <w:pStyle w:val="Heading2"/>
      </w:pPr>
      <w:r>
        <w:t xml:space="preserve">1. Overview</w:t>
      </w:r>
    </w:p>
    <w:bookmarkStart w:id="11" w:name="Xad712edbbd665b9b436f41ebc835e3fb00caef2"/>
    <w:p>
      <w:pPr>
        <w:pStyle w:val="Heading3"/>
      </w:pPr>
      <w:r>
        <w:t xml:space="preserve">1.1 Project summary</w:t>
      </w:r>
    </w:p>
    <w:p>
      <w:pPr>
        <w:pStyle w:val="FirstParagraph"/>
      </w:pPr>
      <w:r>
        <w:rPr>
          <w:b/>
          <w:bCs/>
        </w:rPr>
        <w:t xml:space="preserve">Purpose and objectives.</w:t>
      </w:r>
      <w:r>
        <w:t xml:space="preserve"> </w:t>
      </w:r>
      <w:r>
        <w:t xml:space="preserve">Deliver NOVA, a locally hosted agent converting software requirements</w:t>
      </w:r>
      <w:r>
        <w:t xml:space="preserve"> </w:t>
      </w:r>
      <w:r>
        <w:t xml:space="preserve">into structured test plans and retaining user corrections as durable memory. Objectives are stated</w:t>
      </w:r>
      <w:r>
        <w:t xml:space="preserve"> </w:t>
      </w: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NOVA-VS-001 section 1.3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As defined in</w:t>
      </w:r>
      <w:r>
        <w:t xml:space="preserve"> </w:t>
      </w:r>
      <w:hyperlink r:id="rId10">
        <w:r>
          <w:rPr>
            <w:rStyle w:val="Hyperlink"/>
          </w:rPr>
          <w:t xml:space="preserve">NOVA-VS-001 section 3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Assumptions and constraints.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CON-1</w:t>
            </w:r>
          </w:p>
        </w:tc>
        <w:tc>
          <w:tcPr/>
          <w:p>
            <w:pPr>
              <w:pStyle w:val="Compact"/>
            </w:pPr>
            <w:r>
              <w:t xml:space="preserve">Approximately 130 to 180 engineering hours</w:t>
            </w:r>
          </w:p>
        </w:tc>
        <w:tc>
          <w:tcPr/>
          <w:p>
            <w:pPr>
              <w:pStyle w:val="Compact"/>
            </w:pPr>
            <w:r>
              <w:t xml:space="preserve">Scope reduction order pre-committed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CON-2</w:t>
            </w:r>
          </w:p>
        </w:tc>
        <w:tc>
          <w:tcPr/>
          <w:p>
            <w:pPr>
              <w:pStyle w:val="Compact"/>
            </w:pPr>
            <w:r>
              <w:t xml:space="preserve">Single engineer, no external review</w:t>
            </w:r>
          </w:p>
        </w:tc>
        <w:tc>
          <w:tcPr/>
          <w:p>
            <w:pPr>
              <w:pStyle w:val="Compact"/>
            </w:pPr>
            <w:r>
              <w:t xml:space="preserve">Automated gates substitute for peer review where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CON-3</w:t>
            </w:r>
          </w:p>
        </w:tc>
        <w:tc>
          <w:tcPr/>
          <w:p>
            <w:pPr>
              <w:pStyle w:val="Compact"/>
            </w:pPr>
            <w:r>
              <w:t xml:space="preserve">Local inference, 6 GB VRAM</w:t>
            </w:r>
          </w:p>
        </w:tc>
        <w:tc>
          <w:tcPr/>
          <w:p>
            <w:pPr>
              <w:pStyle w:val="Compact"/>
            </w:pPr>
            <w:r>
              <w:t xml:space="preserve">Model class fixed at 4B parameters. Confirmed by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CON-4</w:t>
            </w:r>
          </w:p>
        </w:tc>
        <w:tc>
          <w:tcPr/>
          <w:p>
            <w:pPr>
              <w:pStyle w:val="Compact"/>
            </w:pPr>
            <w:r>
              <w:t xml:space="preserve">Local deployment only</w:t>
            </w:r>
          </w:p>
        </w:tc>
        <w:tc>
          <w:tcPr/>
          <w:p>
            <w:pPr>
              <w:pStyle w:val="Compact"/>
            </w:pPr>
            <w:r>
              <w:t xml:space="preserve">Container composition is the deployment artifact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CON-5</w:t>
            </w:r>
          </w:p>
        </w:tc>
        <w:tc>
          <w:tcPr/>
          <w:p>
            <w:pPr>
              <w:pStyle w:val="Compact"/>
            </w:pPr>
            <w:r>
              <w:t xml:space="preserve">Synthetic and open-source data only</w:t>
            </w:r>
          </w:p>
        </w:tc>
        <w:tc>
          <w:tcPr/>
          <w:p>
            <w:pPr>
              <w:pStyle w:val="Compact"/>
            </w:pPr>
            <w:r>
              <w:t xml:space="preserve">Evaluation data is committable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CON-6</w:t>
            </w:r>
          </w:p>
        </w:tc>
        <w:tc>
          <w:tcPr/>
          <w:p>
            <w:pPr>
              <w:pStyle w:val="Compact"/>
            </w:pPr>
            <w:r>
              <w:t xml:space="preserve">No model training</w:t>
            </w:r>
          </w:p>
        </w:tc>
        <w:tc>
          <w:tcPr/>
          <w:p>
            <w:pPr>
              <w:pStyle w:val="Compact"/>
            </w:pPr>
            <w:r>
              <w:t xml:space="preserve">Adaptation through retrieval and configuration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CON-7</w:t>
            </w:r>
          </w:p>
        </w:tc>
        <w:tc>
          <w:tcPr/>
          <w:p>
            <w:pPr>
              <w:pStyle w:val="Compact"/>
            </w:pPr>
            <w:r>
              <w:t xml:space="preserve">Single user, multi-tenant-capable schema</w:t>
            </w:r>
          </w:p>
        </w:tc>
        <w:tc>
          <w:tcPr/>
          <w:p>
            <w:pPr>
              <w:pStyle w:val="Compact"/>
            </w:pPr>
            <w:r>
              <w:t xml:space="preserve">Tenant identifier present from the first migration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Deliverables.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application</w:t>
            </w:r>
          </w:p>
        </w:tc>
        <w:tc>
          <w:tcPr/>
          <w:p>
            <w:pPr>
              <w:pStyle w:val="Compact"/>
            </w:pPr>
            <w:r>
              <w:t xml:space="preserve">Source, containerized, startable from a clean checkout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set</w:t>
            </w:r>
          </w:p>
        </w:tc>
        <w:tc>
          <w:tcPr/>
          <w:p>
            <w:pPr>
              <w:pStyle w:val="Compact"/>
            </w:pPr>
            <w:r>
              <w:t xml:space="preserve">NOVA-VS-001, SRS-001, SAD-001, STP-001, TM-001, SDP-001, RR-001, DL-001, ADRs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dataset</w:t>
            </w:r>
          </w:p>
        </w:tc>
        <w:tc>
          <w:tcPr/>
          <w:p>
            <w:pPr>
              <w:pStyle w:val="Compact"/>
            </w:pPr>
            <w:r>
              <w:t xml:space="preserve">Content-hash-versioned,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 suites</w:t>
            </w:r>
          </w:p>
        </w:tc>
        <w:tc>
          <w:tcPr/>
          <w:p>
            <w:pPr>
              <w:pStyle w:val="Compact"/>
            </w:pPr>
            <w:r>
              <w:t xml:space="preserve">Source, gated in continuous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 reports</w:t>
            </w:r>
          </w:p>
        </w:tc>
        <w:tc>
          <w:tcPr/>
          <w:p>
            <w:pPr>
              <w:pStyle w:val="Compact"/>
            </w:pPr>
            <w:r>
              <w:t xml:space="preserve">Committed with reproducible harnesses and raw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Demonstration recording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</w:tr>
    </w:tbl>
    <w:p>
      <w:pPr>
        <w:pStyle w:val="BodyText"/>
      </w:pPr>
      <w:r>
        <w:rPr>
          <w:b/>
          <w:bCs/>
        </w:rPr>
        <w:t xml:space="preserve">Schedule and effort summary.</w:t>
      </w:r>
      <w:r>
        <w:t xml:space="preserve"> </w:t>
      </w:r>
      <w:r>
        <w:t xml:space="preserve">Approximately 165 hours across seven milestones at 10 to 15 hours</w:t>
      </w:r>
      <w:r>
        <w:t xml:space="preserve"> </w:t>
      </w:r>
      <w:r>
        <w:t xml:space="preserve">per week.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Elapsed duration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h/week</w:t>
            </w:r>
          </w:p>
        </w:tc>
        <w:tc>
          <w:tcPr/>
          <w:p>
            <w:pPr>
              <w:pStyle w:val="Compact"/>
            </w:pPr>
            <w:r>
              <w:t xml:space="preserve">~11 weeks</w:t>
            </w:r>
          </w:p>
        </w:tc>
        <w:tc>
          <w:tcPr/>
          <w:p>
            <w:pPr>
              <w:pStyle w:val="Compact"/>
            </w:pPr>
            <w:r>
              <w:t xml:space="preserve">Within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 h/week</w:t>
            </w:r>
          </w:p>
        </w:tc>
        <w:tc>
          <w:tcPr/>
          <w:p>
            <w:pPr>
              <w:pStyle w:val="Compact"/>
            </w:pPr>
            <w:r>
              <w:t xml:space="preserve">~13 weeks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h/week</w:t>
            </w:r>
          </w:p>
        </w:tc>
        <w:tc>
          <w:tcPr/>
          <w:p>
            <w:pPr>
              <w:pStyle w:val="Compact"/>
            </w:pPr>
            <w:r>
              <w:t xml:space="preserve">~16.5 weeks</w:t>
            </w:r>
          </w:p>
        </w:tc>
        <w:tc>
          <w:tcPr/>
          <w:p>
            <w:pPr>
              <w:pStyle w:val="Compact"/>
            </w:pPr>
            <w:r>
              <w:t xml:space="preserve">Over budget. The first two scope reductions become mandatory</w:t>
            </w:r>
          </w:p>
        </w:tc>
      </w:tr>
    </w:tbl>
    <w:bookmarkEnd w:id="11"/>
    <w:bookmarkStart w:id="12" w:name="X251bebc95e6fdfa227ae68c50777fb25dd792cb"/>
    <w:p>
      <w:pPr>
        <w:pStyle w:val="Heading3"/>
      </w:pPr>
      <w:r>
        <w:t xml:space="preserve">1.2 Evolution of this plan</w:t>
      </w:r>
    </w:p>
    <w:p>
      <w:pPr>
        <w:pStyle w:val="FirstParagraph"/>
      </w:pPr>
      <w:r>
        <w:t xml:space="preserve">Effort figures are estimates, not measurements, and will prove inaccurate.</w:t>
      </w:r>
      <w:r>
        <w:t xml:space="preserve"> </w:t>
      </w:r>
      <w:r>
        <w:rPr>
          <w:b/>
          <w:bCs/>
        </w:rPr>
        <w:t xml:space="preserve">Milestone exit criteria</w:t>
      </w:r>
      <w:r>
        <w:rPr>
          <w:b/>
          <w:bCs/>
        </w:rPr>
        <w:t xml:space="preserve"> </w:t>
      </w:r>
      <w:r>
        <w:rPr>
          <w:b/>
          <w:bCs/>
        </w:rPr>
        <w:t xml:space="preserve">govern, not hours consumed.</w:t>
      </w:r>
      <w:r>
        <w:t xml:space="preserve"> </w:t>
      </w:r>
      <w:r>
        <w:t xml:space="preserve">A milestone completes when its criteria are met.</w:t>
      </w:r>
    </w:p>
    <w:p>
      <w:pPr>
        <w:pStyle w:val="BodyText"/>
      </w:pPr>
      <w:r>
        <w:t xml:space="preserve">This plan is revised at each milestone boundary. Revisions are recorded in the revision history</w:t>
      </w:r>
      <w:r>
        <w:t xml:space="preserve"> </w:t>
      </w:r>
      <w:r>
        <w:t xml:space="preserve">rather than applied silently.</w:t>
      </w:r>
    </w:p>
    <w:bookmarkEnd w:id="12"/>
    <w:bookmarkEnd w:id="13"/>
    <w:bookmarkStart w:id="14" w:name="X0f3f49574e36bb889755285a708ca716ee0fbcc"/>
    <w:p>
      <w:pPr>
        <w:pStyle w:val="Heading2"/>
      </w:pPr>
      <w:r>
        <w:t xml:space="preserve">2.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NOVA-VS-001</w:t>
            </w:r>
          </w:p>
        </w:tc>
        <w:tc>
          <w:tcPr/>
          <w:p>
            <w:pPr>
              <w:pStyle w:val="Compact"/>
            </w:pPr>
            <w:r>
              <w:t xml:space="preserve">Vision 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NOVA-SRS-001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NOVA-SAD-001</w:t>
            </w:r>
          </w:p>
        </w:tc>
        <w:tc>
          <w:tcPr/>
          <w:p>
            <w:pPr>
              <w:pStyle w:val="Compact"/>
            </w:pPr>
            <w:r>
              <w:t xml:space="preserve">Software Architecture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NOVA-STP-001</w:t>
            </w:r>
          </w:p>
        </w:tc>
        <w:tc>
          <w:tcPr/>
          <w:p>
            <w:pPr>
              <w:pStyle w:val="Compact"/>
            </w:pPr>
            <w:r>
              <w:t xml:space="preserve">Software Test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NOVA-TM-001</w:t>
            </w:r>
          </w:p>
        </w:tc>
        <w:tc>
          <w:tcPr/>
          <w:p>
            <w:pPr>
              <w:pStyle w:val="Compact"/>
            </w:pPr>
            <w:r>
              <w:t xml:space="preserve">Threat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NOVA-RR-001</w:t>
            </w:r>
          </w:p>
        </w:tc>
        <w:tc>
          <w:tcPr/>
          <w:p>
            <w:pPr>
              <w:pStyle w:val="Compact"/>
            </w:pPr>
            <w:r>
              <w:t xml:space="preserve">Risk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NOVA-DL-001</w:t>
            </w:r>
          </w:p>
        </w:tc>
        <w:tc>
          <w:tcPr/>
          <w:p>
            <w:pPr>
              <w:pStyle w:val="Compact"/>
            </w:pPr>
            <w:r>
              <w:t xml:space="preserve">Decision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NOVA-UI-001</w:t>
            </w:r>
          </w:p>
        </w:tc>
        <w:tc>
          <w:tcPr/>
          <w:p>
            <w:pPr>
              <w:pStyle w:val="Compact"/>
            </w:pPr>
            <w:r>
              <w:t xml:space="preserve">User Interface Design</w:t>
            </w:r>
          </w:p>
        </w:tc>
      </w:tr>
    </w:tbl>
    <w:bookmarkEnd w:id="14"/>
    <w:bookmarkStart w:id="16" w:name="X827e3c612a19f15795b613412f35095dbdac148"/>
    <w:p>
      <w:pPr>
        <w:pStyle w:val="Heading2"/>
      </w:pPr>
      <w:r>
        <w:t xml:space="preserve">3. Definitions</w:t>
      </w:r>
    </w:p>
    <w:p>
      <w:pPr>
        <w:pStyle w:val="FirstParagraph"/>
      </w:pPr>
      <w:r>
        <w:t xml:space="preserve">See</w:t>
      </w:r>
      <w:r>
        <w:t xml:space="preserve"> </w:t>
      </w:r>
      <w:hyperlink r:id="rId15">
        <w:r>
          <w:rPr>
            <w:rStyle w:val="Hyperlink"/>
          </w:rPr>
          <w:t xml:space="preserve">NOVA-SRS-001 section 1.4</w:t>
        </w:r>
      </w:hyperlink>
      <w:r>
        <w:t xml:space="preserve">.</w:t>
      </w:r>
    </w:p>
    <w:bookmarkEnd w:id="16"/>
    <w:bookmarkStart w:id="19" w:name="X926a19e9cbfd42c1600491f80c0fde931e7d303"/>
    <w:p>
      <w:pPr>
        <w:pStyle w:val="Heading2"/>
      </w:pPr>
      <w:r>
        <w:t xml:space="preserve">4. Project organization</w:t>
      </w:r>
    </w:p>
    <w:bookmarkStart w:id="17" w:name="Xd54a3c4849d61d7fec5c2805f2dd030e3ca3624"/>
    <w:p>
      <w:pPr>
        <w:pStyle w:val="Heading3"/>
      </w:pPr>
      <w:r>
        <w:t xml:space="preserve">4.1 External interfaces</w:t>
      </w:r>
    </w:p>
    <w:p>
      <w:pPr>
        <w:pStyle w:val="FirstParagraph"/>
      </w:pPr>
      <w:r>
        <w:t xml:space="preserve">No external organization participates. The project has no sponsor, customer, or supplier.</w:t>
      </w:r>
    </w:p>
    <w:bookmarkEnd w:id="17"/>
    <w:bookmarkStart w:id="18" w:name="Xa5372cd38e02d4ecc07543db844f7f799f26e89"/>
    <w:p>
      <w:pPr>
        <w:pStyle w:val="Heading3"/>
      </w:pPr>
      <w:r>
        <w:t xml:space="preserve">4.2 Internal structure and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Held by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Scope, schedule, acceptance, all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Architecture, decision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manager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Test plan, gate definitions, thresholds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Deployment, model provisioning, backup</w:t>
            </w:r>
          </w:p>
        </w:tc>
      </w:tr>
    </w:tbl>
    <w:p>
      <w:pPr>
        <w:pStyle w:val="BodyText"/>
      </w:pPr>
      <w:r>
        <w:t xml:space="preserve">Single-engineer project. The consequent absence of independent review is recorded as risk R-17 and</w:t>
      </w:r>
      <w:r>
        <w:t xml:space="preserve"> </w:t>
      </w:r>
      <w:r>
        <w:t xml:space="preserve">constraint CON-2, and is stated rather than concealed.</w:t>
      </w:r>
    </w:p>
    <w:bookmarkEnd w:id="18"/>
    <w:bookmarkEnd w:id="19"/>
    <w:bookmarkStart w:id="50" w:name="Xff0ad41cfea07d76efab5031f57dd2a8fc8f4a9"/>
    <w:p>
      <w:pPr>
        <w:pStyle w:val="Heading2"/>
      </w:pPr>
      <w:r>
        <w:t xml:space="preserve">5. Managerial process plans</w:t>
      </w:r>
    </w:p>
    <w:bookmarkStart w:id="20" w:name="Xc65a6ade194f4950df88d49ecbc24c5707de088"/>
    <w:p>
      <w:pPr>
        <w:pStyle w:val="Heading3"/>
      </w:pPr>
      <w:r>
        <w:t xml:space="preserve">5.1 Start-up plan</w:t>
      </w:r>
    </w:p>
    <w:p>
      <w:pPr>
        <w:pStyle w:val="FirstParagraph"/>
      </w:pPr>
      <w:r>
        <w:rPr>
          <w:b/>
          <w:bCs/>
        </w:rPr>
        <w:t xml:space="preserve">Effort estimation.</w:t>
      </w:r>
      <w:r>
        <w:t xml:space="preserve"> </w:t>
      </w:r>
      <w:r>
        <w:t xml:space="preserve">Bottom-up by milestone, derived from the vertical slices in section 6.2.</w:t>
      </w:r>
      <w:r>
        <w:t xml:space="preserve"> </w:t>
      </w:r>
      <w:r>
        <w:t xml:space="preserve">Estimates carry no historical basis and are expected to be inaccurate in both directions.</w:t>
      </w:r>
    </w:p>
    <w:p>
      <w:pPr>
        <w:pStyle w:val="BodyText"/>
      </w:pPr>
      <w:r>
        <w:rPr>
          <w:b/>
          <w:bCs/>
        </w:rPr>
        <w:t xml:space="preserve">Resource acquisition.</w:t>
      </w:r>
      <w:r>
        <w:t xml:space="preserve"> </w:t>
      </w:r>
      <w:r>
        <w:t xml:space="preserve">No procurement. Software dependencies are open-source. Hardware is</w:t>
      </w:r>
      <w:r>
        <w:t xml:space="preserve"> </w:t>
      </w:r>
      <w:r>
        <w:t xml:space="preserve">existing.</w:t>
      </w:r>
    </w:p>
    <w:p>
      <w:pPr>
        <w:pStyle w:val="BodyText"/>
      </w:pPr>
      <w:r>
        <w:rPr>
          <w:b/>
          <w:bCs/>
        </w:rPr>
        <w:t xml:space="preserve">Entry criteria for implementation.</w:t>
      </w:r>
      <w:r>
        <w:t xml:space="preserve"> </w:t>
      </w:r>
      <w:r>
        <w:t xml:space="preserve">Implementation begins when the items in section 5.6 are</w:t>
      </w:r>
      <w:r>
        <w:t xml:space="preserve"> </w:t>
      </w:r>
      <w:r>
        <w:t xml:space="preserve">resolved.</w:t>
      </w:r>
    </w:p>
    <w:bookmarkEnd w:id="20"/>
    <w:bookmarkStart w:id="31" w:name="Xbf805c8027846f9e1a173bc563f18af035e2168"/>
    <w:p>
      <w:pPr>
        <w:pStyle w:val="Heading3"/>
      </w:pPr>
      <w:r>
        <w:t xml:space="preserve">5.2 Work plan</w:t>
      </w:r>
    </w:p>
    <w:p>
      <w:pPr>
        <w:pStyle w:val="FirstParagraph"/>
      </w:pPr>
      <w:r>
        <w:t xml:space="preserve">Milestones are sequenced by technical prerequisite and by risk reduction, not by feature appeal. The</w:t>
      </w:r>
      <w:r>
        <w:t xml:space="preserve"> </w:t>
      </w:r>
      <w:r>
        <w:t xml:space="preserve">highest-uncertainty assumptions are deliberately addressed first, because discovering a failure late</w:t>
      </w:r>
      <w:r>
        <w:t xml:space="preserve"> </w:t>
      </w:r>
      <w:r>
        <w:t xml:space="preserve">would be unrecoverable.</w:t>
      </w:r>
    </w:p>
    <w:p>
      <w:pPr>
        <w:pStyle w:val="BodyText"/>
      </w:pPr>
      <w:r>
        <w:drawing>
          <wp:inline>
            <wp:extent cx="5943600" cy="708593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/Users/laxmi/AppData/Local/Temp/nova-docs-b9545df6/sdp-1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8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4" w:name="m1-foundations-15-h"/>
    <w:p>
      <w:pPr>
        <w:pStyle w:val="Heading4"/>
      </w:pPr>
      <w:r>
        <w:t xml:space="preserve">M1. Foundations, 15 h</w:t>
      </w:r>
    </w:p>
    <w:p>
      <w:pPr>
        <w:pStyle w:val="FirstParagraph"/>
      </w:pPr>
      <w:r>
        <w:t xml:space="preserve">Complete, 2026-09-10.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Eliminate the assumptions capable of invalidating the plan. Fix the decisions that are expensive to reverse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Model selection spike; embedding spike; repository skeleton; datastore with vector extension and migrations; inference gateway with a fake implementation; deployment composition; continuous integration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A selected model produces schema-conformant plans at measured latency; embedding model and vector dimension fixed; container-to-host inference reachability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Model selection spike: five candidates over twenty requirements,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selected. Embedding spike:</w:t>
            </w:r>
            <w:r>
              <w:t xml:space="preserve"> </w:t>
            </w:r>
            <w:r>
              <w:rPr>
                <w:rStyle w:val="VerbatimChar"/>
              </w:rPr>
              <w:t xml:space="preserve">embeddinggemma</w:t>
            </w:r>
            <w:r>
              <w:t xml:space="preserve"> </w:t>
            </w:r>
            <w:r>
              <w:t xml:space="preserve">at 768 dimensions. Container-to-host reachability verified. Deployment composition, forward-only migrations, inference gateway with local and fake providers, and continuous integration gating lint, types, migrations and the 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</w:t>
            </w:r>
          </w:p>
        </w:tc>
        <w:tc>
          <w:tcPr/>
          <w:p>
            <w:pPr>
              <w:pStyle w:val="Compact"/>
            </w:pPr>
            <w:r>
              <w:t xml:space="preserve">None. The api, worker and web services and their suites land in M2</w:t>
            </w:r>
          </w:p>
        </w:tc>
      </w:tr>
    </w:tbl>
    <w:bookmarkEnd w:id="24"/>
    <w:bookmarkStart w:id="25" w:name="m2-agent-workflow-32-h"/>
    <w:p>
      <w:pPr>
        <w:pStyle w:val="Heading4"/>
      </w:pPr>
      <w:r>
        <w:t xml:space="preserve">M2. Agent workflow, 32 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End-to-end task execution without memory or adaptation. The substrate on which everything else depends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Task entity and state machine; job table and worker; orchestrator; generator; deterministic checks; trace persistence; minimal interface; four playbooks as versioned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A requirement submitted through the interface returns a schema-conformant plan; the trace exposes every step; a terminated worker's job is reclaimed with its partial trace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</w:t>
            </w:r>
          </w:p>
        </w:tc>
        <w:tc>
          <w:tcPr/>
          <w:p>
            <w:pPr>
              <w:pStyle w:val="Compact"/>
            </w:pPr>
            <w:r>
              <w:t xml:space="preserve">Evaluation dataset authoring begins, extending the twenty cases produced during the model spike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 before M3</w:t>
            </w:r>
          </w:p>
        </w:tc>
        <w:tc>
          <w:tcPr/>
          <w:p>
            <w:pPr>
              <w:pStyle w:val="Compact"/>
            </w:pPr>
            <w:r>
              <w:t xml:space="preserve">Test plan schema frozen at version 1; playbook definitions stable enough to scope memory against</w:t>
            </w:r>
          </w:p>
        </w:tc>
      </w:tr>
    </w:tbl>
    <w:bookmarkEnd w:id="25"/>
    <w:bookmarkStart w:id="26" w:name="m3-memory-and-feedback-32-h"/>
    <w:p>
      <w:pPr>
        <w:pStyle w:val="Heading4"/>
      </w:pPr>
      <w:r>
        <w:t xml:space="preserve">M3. Memory and feedback, 32 h</w:t>
      </w:r>
    </w:p>
    <w:p>
      <w:pPr>
        <w:pStyle w:val="FirstParagraph"/>
      </w:pPr>
      <w:r>
        <w:t xml:space="preserve">The milestone the project exists to deliver.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Close the feedback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Memory entity and vector index; embedding on confirmation; scored retrieval; feedback events and normalization; extraction with the validation screen; confirmation flow; conflict detection; memory management interface; applied-lessons 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A correction recorded against task N demonstrably alters task N+1; deleting the memory reverts the behaviour; the isolation suite is green and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</w:pPr>
            <w:r>
              <w:t xml:space="preserve">Extraction precision measured against approximately 15 hand-labelled authentic corrections; deletion completeness proven by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risk</w:t>
            </w:r>
          </w:p>
        </w:tc>
        <w:tc>
          <w:tcPr/>
          <w:p>
            <w:pPr>
              <w:pStyle w:val="Compact"/>
            </w:pPr>
            <w:r>
              <w:t xml:space="preserve">R-01. Extraction precision is the highest uncertainty in the project</w:t>
            </w:r>
          </w:p>
        </w:tc>
      </w:tr>
    </w:tbl>
    <w:p>
      <w:pPr>
        <w:pStyle w:val="BodyText"/>
      </w:pPr>
      <w:r>
        <w:rPr>
          <w:b/>
          <w:bCs/>
        </w:rPr>
        <w:t xml:space="preserve">Mid-milestone checkpoint at approximately 15 hours.</w:t>
      </w:r>
      <w:r>
        <w:t xml:space="preserve"> </w:t>
      </w:r>
      <w:r>
        <w:t xml:space="preserve">Extraction precision is measured before the</w:t>
      </w:r>
      <w:r>
        <w:t xml:space="preserve"> </w:t>
      </w:r>
      <w:r>
        <w:t xml:space="preserve">surrounding interface is built. Should a local model prove unable to derive usable rules, the</w:t>
      </w:r>
      <w:r>
        <w:t xml:space="preserve"> </w:t>
      </w:r>
      <w:r>
        <w:t xml:space="preserve">fallback is user-authored rules with model assistance: a smaller capability, still honest, and far</w:t>
      </w:r>
      <w:r>
        <w:t xml:space="preserve"> </w:t>
      </w:r>
      <w:r>
        <w:t xml:space="preserve">cheaper to adopt at that point than after dependent interface work.</w:t>
      </w:r>
    </w:p>
    <w:bookmarkEnd w:id="26"/>
    <w:bookmarkStart w:id="27" w:name="m4-strategy-layer-14-h"/>
    <w:p>
      <w:pPr>
        <w:pStyle w:val="Heading4"/>
      </w:pPr>
      <w:r>
        <w:t xml:space="preserve">M4. Strategy layer, 14 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Make playbook selection responsive to recorded outcomes, within guardrails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Outcome score entity; bounded exploration; cold-start defaults; exploration labelling in the interface; score recomputation from the event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Selection demonstrably shifts following recorded outcomes; exploration remains within bound; scores rebuild exactly from the event log</w:t>
            </w:r>
          </w:p>
        </w:tc>
      </w:tr>
    </w:tbl>
    <w:p>
      <w:pPr>
        <w:pStyle w:val="BodyText"/>
      </w:pPr>
      <w:r>
        <w:t xml:space="preserve">The smallest milestone, off the critical path, and consequently the first candidate for reduction.</w:t>
      </w:r>
    </w:p>
    <w:bookmarkEnd w:id="27"/>
    <w:bookmarkStart w:id="28" w:name="m5-evaluation-harness-34-h"/>
    <w:p>
      <w:pPr>
        <w:pStyle w:val="Heading4"/>
      </w:pPr>
      <w:r>
        <w:t xml:space="preserve">M5. Evaluation harness, 34 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Render quality measurable and regression unmergeable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Dataset extension to approximately 50 stratified cases (15 h in itself); metric computation; adversarial suite; configuration versioning with the activation gate; continuous integration evaluation job; results 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A deliberately degraded prompt version is blocked by the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Definition of done</w:t>
            </w:r>
          </w:p>
        </w:tc>
        <w:tc>
          <w:tcPr/>
          <w:p>
            <w:pPr>
              <w:pStyle w:val="Compact"/>
            </w:pPr>
            <w:r>
              <w:t xml:space="preserve">Run-over-run variance measured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thresholds are set, with thresholds justified in writing by that variance; adversarial suite green; Correction Recurrence Rate measured across at least two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risks</w:t>
            </w:r>
          </w:p>
        </w:tc>
        <w:tc>
          <w:tcPr/>
          <w:p>
            <w:pPr>
              <w:pStyle w:val="Compact"/>
            </w:pPr>
            <w:r>
              <w:t xml:space="preserve">R-03 nondeterminism destabilizing the gate; R-02 dataset effort underestimated</w:t>
            </w:r>
          </w:p>
        </w:tc>
      </w:tr>
    </w:tbl>
    <w:p>
      <w:pPr>
        <w:pStyle w:val="BodyText"/>
      </w:pPr>
      <w:r>
        <w:t xml:space="preserve">The largest milestone and the most likely to overrun, the dataset being the cause. It also produces</w:t>
      </w:r>
      <w:r>
        <w:t xml:space="preserve"> </w:t>
      </w:r>
      <w:r>
        <w:t xml:space="preserve">the artifact of greatest evidential value, so reduction here costs more per hour saved than</w:t>
      </w:r>
      <w:r>
        <w:t xml:space="preserve"> </w:t>
      </w:r>
      <w:r>
        <w:t xml:space="preserve">elsewhere.</w:t>
      </w:r>
    </w:p>
    <w:bookmarkEnd w:id="28"/>
    <w:bookmarkStart w:id="29" w:name="m6-hardening-20-h"/>
    <w:p>
      <w:pPr>
        <w:pStyle w:val="Heading4"/>
      </w:pPr>
      <w:r>
        <w:t xml:space="preserve">M6. Hardening, 20 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Render the system operable and demonstrate its security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Distributed tracing; cost and duration presentation; structured logging with content-absence assertions; degraded-mode behaviours; health and readiness including provider reachability; secret scanning and dependency audit; backup and restore drill; clean-checkout deployment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Every degraded mode demonstrable; no content present in log output, asserted by test; deployment succeeds from a clean checkout on a separate host</w:t>
            </w:r>
          </w:p>
        </w:tc>
      </w:tr>
    </w:tbl>
    <w:bookmarkEnd w:id="29"/>
    <w:bookmarkStart w:id="30" w:name="m7-presentation-18-h"/>
    <w:p>
      <w:pPr>
        <w:pStyle w:val="Heading4"/>
      </w:pPr>
      <w:r>
        <w:t xml:space="preserve">M7. Presentation, 18 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Render the work legible to a reader with limited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Repository README; document set finalization; case study; demonstration recording; screenshots; resolution of every provisional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criteria</w:t>
            </w:r>
          </w:p>
        </w:tc>
        <w:tc>
          <w:tcPr/>
          <w:p>
            <w:pPr>
              <w:pStyle w:val="Compact"/>
            </w:pPr>
            <w:r>
              <w:t xml:space="preserve">Every provisional value is either replaced with a measurement or the associated claim is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Principal risk</w:t>
            </w:r>
          </w:p>
        </w:tc>
        <w:tc>
          <w:tcPr/>
          <w:p>
            <w:pPr>
              <w:pStyle w:val="Compact"/>
            </w:pPr>
            <w:r>
              <w:t xml:space="preserve">R-07. The pressure to substitute optimistic figures peaks here. The claim discipline in section 7.6 is reviewed at the start of this milestone, not at its end</w:t>
            </w:r>
          </w:p>
        </w:tc>
      </w:tr>
    </w:tbl>
    <w:bookmarkEnd w:id="30"/>
    <w:bookmarkEnd w:id="31"/>
    <w:bookmarkStart w:id="33" w:name="X71779a0356adea66a0d275306d7c4f54742f948"/>
    <w:p>
      <w:pPr>
        <w:pStyle w:val="Heading3"/>
      </w:pPr>
      <w:r>
        <w:t xml:space="preserve">5.3 Control plan</w:t>
      </w:r>
    </w:p>
    <w:p>
      <w:pPr>
        <w:pStyle w:val="FirstParagraph"/>
      </w:pPr>
      <w:r>
        <w:rPr>
          <w:b/>
          <w:bCs/>
        </w:rPr>
        <w:t xml:space="preserve">Requirements control.</w:t>
      </w:r>
      <w:r>
        <w:t xml:space="preserve"> </w:t>
      </w:r>
      <w:r>
        <w:t xml:space="preserve">The SRS is the baseline. Changes are made to the SRS first, then</w:t>
      </w:r>
      <w:r>
        <w:t xml:space="preserve"> </w:t>
      </w:r>
      <w:r>
        <w:t xml:space="preserve">implemented. Scope additions require a corresponding reduction elsewhere or an explicit budget</w:t>
      </w:r>
      <w:r>
        <w:t xml:space="preserve"> </w:t>
      </w:r>
      <w:r>
        <w:t xml:space="preserve">revision.</w:t>
      </w:r>
    </w:p>
    <w:p>
      <w:pPr>
        <w:pStyle w:val="BodyText"/>
      </w:pPr>
      <w:r>
        <w:rPr>
          <w:b/>
          <w:bCs/>
        </w:rPr>
        <w:t xml:space="preserve">Schedule control.</w:t>
      </w:r>
      <w:r>
        <w:t xml:space="preserve"> </w:t>
      </w:r>
      <w:r>
        <w:t xml:space="preserve">Progress is measured by milestone exit criteria, not by hours consumed or</w:t>
      </w:r>
      <w:r>
        <w:t xml:space="preserve"> </w:t>
      </w:r>
      <w:r>
        <w:t xml:space="preserve">tasks closed.</w:t>
      </w:r>
    </w:p>
    <w:p>
      <w:pPr>
        <w:pStyle w:val="BodyText"/>
      </w:pPr>
      <w:r>
        <w:rPr>
          <w:b/>
          <w:bCs/>
        </w:rPr>
        <w:t xml:space="preserve">Metrics collection.</w:t>
      </w:r>
      <w:r>
        <w:t xml:space="preserve"> </w:t>
      </w:r>
      <w:r>
        <w:t xml:space="preserve">Product and process metrics are defined in</w:t>
      </w:r>
      <w:r>
        <w:t xml:space="preserve"> </w:t>
      </w:r>
      <w:hyperlink r:id="rId32">
        <w:r>
          <w:rPr>
            <w:rStyle w:val="Hyperlink"/>
          </w:rPr>
          <w:t xml:space="preserve">NOVA-STP-001 section 5.5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Reporting.</w:t>
      </w:r>
      <w:r>
        <w:t xml:space="preserve"> </w:t>
      </w:r>
      <w:r>
        <w:t xml:space="preserve">Self-directed. Milestone completion is recorded in this document's revision history.</w:t>
      </w:r>
    </w:p>
    <w:bookmarkEnd w:id="33"/>
    <w:bookmarkStart w:id="35" w:name="X951db12a58558976742ca2336ca543fb0f1018f"/>
    <w:p>
      <w:pPr>
        <w:pStyle w:val="Heading3"/>
      </w:pPr>
      <w:r>
        <w:t xml:space="preserve">5.4 Risk management plan</w:t>
      </w:r>
    </w:p>
    <w:p>
      <w:pPr>
        <w:pStyle w:val="FirstParagraph"/>
      </w:pPr>
      <w:r>
        <w:t xml:space="preserve">Risks are recorded in</w:t>
      </w:r>
      <w:r>
        <w:t xml:space="preserve"> </w:t>
      </w:r>
      <w:hyperlink r:id="rId34">
        <w:r>
          <w:rPr>
            <w:rStyle w:val="Hyperlink"/>
          </w:rPr>
          <w:t xml:space="preserve">NOVA-RR-001</w:t>
        </w:r>
      </w:hyperlink>
      <w:r>
        <w:t xml:space="preserve"> </w:t>
      </w:r>
      <w:r>
        <w:t xml:space="preserve">and reviewed at each milestone boundary rather</w:t>
      </w:r>
      <w:r>
        <w:t xml:space="preserve"> </w:t>
      </w:r>
      <w:r>
        <w:t xml:space="preserve">than continuously.</w:t>
      </w:r>
    </w:p>
    <w:p>
      <w:pPr>
        <w:pStyle w:val="BodyText"/>
      </w:pPr>
      <w:r>
        <w:t xml:space="preserve">A risk closes only when evidence closes it. A planned mitigation does not close a risk, and neither</w:t>
      </w:r>
      <w:r>
        <w:t xml:space="preserve"> </w:t>
      </w:r>
      <w:r>
        <w:t xml:space="preserve">does elapsed time.</w:t>
      </w:r>
    </w:p>
    <w:p>
      <w:pPr>
        <w:pStyle w:val="BodyText"/>
      </w:pPr>
      <w:r>
        <w:t xml:space="preserve">Two entries are prerequisites rather than ordinary risks. Dependent work does not begin until they</w:t>
      </w:r>
      <w:r>
        <w:t xml:space="preserve"> </w:t>
      </w:r>
      <w:r>
        <w:t xml:space="preserve">are resolved, because the cost of proceeding while wrong is rework rather than delay: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Embedding model and vector dimension selected. Blocks schema definition</w:t>
            </w:r>
          </w:p>
        </w:tc>
        <w:tc>
          <w:tcPr/>
          <w:p>
            <w:pPr>
              <w:pStyle w:val="Compact"/>
            </w:pPr>
            <w:r>
              <w:t xml:space="preserve">Resolved 2026-09-08 by NOVA-SPK-002 and ADR-0005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Extraction precision measured. Blocks dependent interface work in M3</w:t>
            </w:r>
          </w:p>
        </w:tc>
        <w:tc>
          <w:tcPr/>
          <w:p>
            <w:pPr>
              <w:pStyle w:val="Compact"/>
            </w:pPr>
            <w:r>
              <w:t xml:space="preserve">Outstanding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Pre-committed scope reduction order.</w:t>
      </w:r>
      <w:r>
        <w:t xml:space="preserve"> </w:t>
      </w:r>
      <w:r>
        <w:t xml:space="preserve">Decided in advance so that reduction proceeds from a plan</w:t>
      </w:r>
      <w:r>
        <w:t xml:space="preserve"> </w:t>
      </w:r>
      <w:r>
        <w:t xml:space="preserve">rather than under pressure. The decision point is week 6.</w:t>
      </w:r>
    </w:p>
    <w:p>
      <w:pPr>
        <w:pStyle w:val="Compact"/>
        <w:numPr>
          <w:ilvl w:val="0"/>
          <w:numId w:val="1001"/>
        </w:numPr>
      </w:pPr>
      <w:r>
        <w:t xml:space="preserve">Evaluation results interface reduced to a command-line report and a committed summary</w:t>
      </w:r>
    </w:p>
    <w:p>
      <w:pPr>
        <w:pStyle w:val="Compact"/>
        <w:numPr>
          <w:ilvl w:val="0"/>
          <w:numId w:val="1001"/>
        </w:numPr>
      </w:pPr>
      <w:r>
        <w:t xml:space="preserve">Playbooks reduced from four to two, preserving the strategy layer while halving the work</w:t>
      </w:r>
    </w:p>
    <w:p>
      <w:pPr>
        <w:pStyle w:val="Compact"/>
        <w:numPr>
          <w:ilvl w:val="0"/>
          <w:numId w:val="1001"/>
        </w:numPr>
      </w:pPr>
      <w:r>
        <w:t xml:space="preserve">Hosted inference provider removed, retaining local only. Costs the demonstration fallback</w:t>
      </w:r>
    </w:p>
    <w:p>
      <w:pPr>
        <w:pStyle w:val="Compact"/>
        <w:numPr>
          <w:ilvl w:val="0"/>
          <w:numId w:val="1001"/>
        </w:numPr>
      </w:pPr>
      <w:r>
        <w:t xml:space="preserve">Memory edit and pin reduced to view and delete</w:t>
      </w:r>
    </w:p>
    <w:p>
      <w:pPr>
        <w:pStyle w:val="Compact"/>
        <w:numPr>
          <w:ilvl w:val="0"/>
          <w:numId w:val="1001"/>
        </w:numPr>
      </w:pPr>
      <w:r>
        <w:t xml:space="preserve">Evaluation dataset reduced from approximately 50 to approximately 25 cases</w:t>
      </w:r>
    </w:p>
    <w:p>
      <w:pPr>
        <w:pStyle w:val="Compact"/>
        <w:numPr>
          <w:ilvl w:val="0"/>
          <w:numId w:val="1001"/>
        </w:numPr>
      </w:pPr>
      <w:r>
        <w:t xml:space="preserve">Cost and duration presentation moved from the interface to logs</w:t>
      </w:r>
    </w:p>
    <w:p>
      <w:pPr>
        <w:pStyle w:val="FirstParagraph"/>
      </w:pPr>
      <w:r>
        <w:rPr>
          <w:b/>
          <w:bCs/>
        </w:rPr>
        <w:t xml:space="preserve">Never reduced:</w:t>
      </w:r>
      <w:r>
        <w:t xml:space="preserve"> </w:t>
      </w:r>
      <w:r>
        <w:t xml:space="preserve">the feedback loop, the isolation suite, and the evaluation regression gate. These</w:t>
      </w:r>
      <w:r>
        <w:t xml:space="preserve"> </w:t>
      </w:r>
      <w:r>
        <w:t xml:space="preserve">three constitute the project. Removing any one leaves an unremarkable generation wrapper.</w:t>
      </w:r>
    </w:p>
    <w:bookmarkEnd w:id="35"/>
    <w:bookmarkStart w:id="36" w:name="Xba92fe7ec1b7fbe4269fc56717c9751b17c9202"/>
    <w:p>
      <w:pPr>
        <w:pStyle w:val="Heading3"/>
      </w:pPr>
      <w:r>
        <w:t xml:space="preserve">5.5 Closeout plan</w:t>
      </w:r>
    </w:p>
    <w:p>
      <w:pPr>
        <w:pStyle w:val="FirstParagraph"/>
      </w:pPr>
      <w:r>
        <w:t xml:space="preserve">The project closes when every requirement of priority Must has passed its verification method, the</w:t>
      </w:r>
      <w:r>
        <w:t xml:space="preserve"> </w:t>
      </w:r>
      <w:r>
        <w:t xml:space="preserve">acceptance criteria in section 6.4 are met, and the document set is finalized with no unresolved</w:t>
      </w:r>
      <w:r>
        <w:t xml:space="preserve"> </w:t>
      </w:r>
      <w:r>
        <w:t xml:space="preserve">provisional value.</w:t>
      </w:r>
    </w:p>
    <w:bookmarkEnd w:id="36"/>
    <w:bookmarkStart w:id="49" w:name="X3514be793f60794a63c5206166089e4d8a4aadc"/>
    <w:p>
      <w:pPr>
        <w:pStyle w:val="Heading3"/>
      </w:pPr>
      <w:r>
        <w:t xml:space="preserve">5.6 Entry criteria for implementation</w:t>
      </w:r>
    </w:p>
    <w:p>
      <w:pPr>
        <w:pStyle w:val="FirstParagraph"/>
      </w:pPr>
      <w:r>
        <w:t xml:space="preserve">Assessment against the current state of the document set.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Evidence or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Problem defined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NOVA-VS-001 Â§1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Users and operational scenarios documented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NOVA-SRS-001 Â§1.3.3, Â§3.5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Objectives and success measures defined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NOVA-VS-001 Â§1.3</w:t>
              </w:r>
            </w:hyperlink>
            <w:r>
              <w:t xml:space="preserve">,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NOVA-STP-001 Â§5.5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Scope, assumptions, constraints, exclusions documented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NOVA-VS-001 Â§3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Functional requirements specified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NOVA-SRS-001 Â§3.1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Non-functional requirements specified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NOVA-SRS-001 Â§3.2 to Â§3.12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User interface design available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NOVA-UI-001</w:t>
              </w:r>
            </w:hyperlink>
            <w:r>
              <w:t xml:space="preserve">. Four views and two surfaces, wireframed, with every exception condition in NOVA-SRS-001 Â§3.5.2 mapped to where it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Architecture documented and reviewed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NOVA-SAD-001</w:t>
              </w:r>
            </w:hyperlink>
            <w:r>
              <w:t xml:space="preserve"> </w:t>
            </w:r>
            <w:r>
              <w:t xml:space="preserve">complete. Reviewed by the author only, per CON-2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Alternatives and trade-offs documented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ADRs</w:t>
              </w:r>
            </w:hyperlink>
            <w:r>
              <w:t xml:space="preserve">,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NOVA-DL-001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Data model, ownership, retention, migration understood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Entities and retention defined. Vector dimension fixed at 768 by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ADR-0005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Interface contracts defined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NOVA-SRS-001 Â§3.4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Security and privacy requirements identified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NOVA-TM-001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Dependencies, risks, open items tracked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NOVA-RR-001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Test strategy documented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NOVA-STP-001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Observability requirements documented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NOVA-SAD-001 Â§8.7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Deployment, rollout, rollback, support documented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Section 6.3 and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NOVA-SAD-001 Â§7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Work decomposed into estimable, demonstrable increments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Section 6.2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Acceptance criteria defined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Section 6.4</w:t>
            </w:r>
          </w:p>
        </w:tc>
      </w:tr>
    </w:tbl>
    <w:p>
      <w:pPr>
        <w:pStyle w:val="BodyText"/>
      </w:pPr>
      <w:r>
        <w:t xml:space="preserve">Seventeen complete, one partial, no gap.</w:t>
      </w:r>
    </w:p>
    <w:p>
      <w:pPr>
        <w:pStyle w:val="BodyText"/>
      </w:pPr>
      <w:r>
        <w:rPr>
          <w:b/>
          <w:bCs/>
        </w:rPr>
        <w:t xml:space="preserve">Outstanding items, in order of consequence.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Select the embedding model and fix the vector dimension</w:t>
            </w:r>
          </w:p>
        </w:tc>
        <w:tc>
          <w:tcPr/>
          <w:p>
            <w:pPr>
              <w:pStyle w:val="Compact"/>
            </w:pPr>
            <w:r>
              <w:t xml:space="preserve">~4 h spent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2026-09-08.</w:t>
            </w:r>
            <w:r>
              <w:t xml:space="preserve"> </w:t>
            </w:r>
            <w:r>
              <w:rPr>
                <w:rStyle w:val="VerbatimChar"/>
              </w:rPr>
              <w:t xml:space="preserve">embeddinggemma</w:t>
            </w:r>
            <w:r>
              <w:t xml:space="preserve"> </w:t>
            </w:r>
            <w:r>
              <w:t xml:space="preserve">at 768 dimensions,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NOVA-SPK-002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ADR-0005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Verify container-to-host inference reachability and datastore provisioning</w:t>
            </w:r>
          </w:p>
        </w:tc>
        <w:tc>
          <w:tcPr/>
          <w:p>
            <w:pPr>
              <w:pStyle w:val="Compact"/>
            </w:pPr>
            <w:r>
              <w:t xml:space="preserve">~1 h spent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2026-09-09.</w:t>
            </w:r>
            <w:r>
              <w:t xml:space="preserve"> </w:t>
            </w:r>
            <w:r>
              <w:t xml:space="preserve">Reachable on the default loopback binding;</w:t>
            </w:r>
            <w:r>
              <w:t xml:space="preserve"> </w:t>
            </w:r>
            <w:r>
              <w:rPr>
                <w:rStyle w:val="VerbatimChar"/>
              </w:rPr>
              <w:t xml:space="preserve">vector(768)</w:t>
            </w:r>
            <w:r>
              <w:t xml:space="preserve"> </w:t>
            </w:r>
            <w:r>
              <w:t xml:space="preserve">indexes and queries correctly. R-09 closed.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NOVA-SPK-003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Complete the model selection spike across all cases and candidates</w:t>
            </w:r>
          </w:p>
        </w:tc>
        <w:tc>
          <w:tcPr/>
          <w:p>
            <w:pPr>
              <w:pStyle w:val="Compact"/>
            </w:pPr>
            <w:r>
              <w:t xml:space="preserve">~2 h spent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2026-09-08.</w:t>
            </w:r>
            <w:r>
              <w:t xml:space="preserve"> </w:t>
            </w:r>
            <w:r>
              <w:rPr>
                <w:rStyle w:val="VerbatimChar"/>
              </w:rPr>
              <w:t xml:space="preserve">gemma3:4b</w:t>
            </w:r>
            <w:r>
              <w:t xml:space="preserve"> </w:t>
            </w:r>
            <w:r>
              <w:t xml:space="preserve">selected, R-08 closed.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NOVA-SPK-001 v1.1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Produce a screen inventory and wireframes for the four views</w:t>
            </w:r>
          </w:p>
        </w:tc>
        <w:tc>
          <w:tcPr/>
          <w:p>
            <w:pPr>
              <w:pStyle w:val="Compact"/>
            </w:pPr>
            <w:r>
              <w:t xml:space="preserve">~4 h spent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2026-09-08.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NOVA-UI-001</w:t>
              </w:r>
            </w:hyperlink>
          </w:p>
        </w:tc>
      </w:tr>
    </w:tbl>
    <w:p>
      <w:pPr>
        <w:pStyle w:val="BodyText"/>
      </w:pPr>
      <w:r>
        <w:t xml:space="preserve">All four are resolved. No entry condition remains open. Criterion 8 stays partial for the duration</w:t>
      </w:r>
      <w:r>
        <w:t xml:space="preserve"> </w:t>
      </w:r>
      <w:r>
        <w:t xml:space="preserve">of the project: CON-2 puts a single reviewer on the architecture, which is recorded as R-17 rather</w:t>
      </w:r>
      <w:r>
        <w:t xml:space="preserve"> </w:t>
      </w:r>
      <w:r>
        <w:t xml:space="preserve">than treated as closeable.</w:t>
      </w:r>
    </w:p>
    <w:bookmarkEnd w:id="49"/>
    <w:bookmarkEnd w:id="50"/>
    <w:bookmarkStart w:id="55" w:name="X40e73d45f562065b06dca0b65a20ad920cb5af5"/>
    <w:p>
      <w:pPr>
        <w:pStyle w:val="Heading2"/>
      </w:pPr>
      <w:r>
        <w:t xml:space="preserve">6. Technical process plans</w:t>
      </w:r>
    </w:p>
    <w:bookmarkStart w:id="51" w:name="X6be2edcaf18bfab3a52ab57b53910db6047efc3"/>
    <w:p>
      <w:pPr>
        <w:pStyle w:val="Heading3"/>
      </w:pPr>
      <w:r>
        <w:t xml:space="preserve">6.1 Process model</w:t>
      </w:r>
    </w:p>
    <w:p>
      <w:pPr>
        <w:pStyle w:val="FirstParagraph"/>
      </w:pPr>
      <w:r>
        <w:t xml:space="preserve">Incremental delivery through vertical slices, each independently demonstrable. No fixed iteration</w:t>
      </w:r>
      <w:r>
        <w:t xml:space="preserve"> </w:t>
      </w:r>
      <w:r>
        <w:t xml:space="preserve">length. Work is gated by milestone exit criteria rather than by time-boxing, which suits a</w:t>
      </w:r>
      <w:r>
        <w:t xml:space="preserve"> </w:t>
      </w:r>
      <w:r>
        <w:t xml:space="preserve">single-engineer project with variable weekly availability.</w:t>
      </w:r>
    </w:p>
    <w:bookmarkEnd w:id="51"/>
    <w:bookmarkStart w:id="52" w:name="X6835ea84578213343bf21d7dbb4c277867eeeb6"/>
    <w:p>
      <w:pPr>
        <w:pStyle w:val="Heading3"/>
      </w:pPr>
      <w:r>
        <w:t xml:space="preserve">6.2 Vertical slices</w:t>
      </w:r>
    </w:p>
    <w:p>
      <w:pPr>
        <w:pStyle w:val="FirstParagraph"/>
      </w:pPr>
      <w:r>
        <w:t xml:space="preserve">Decomposition is by demonstrable outcome rather than by architectural 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Demonstrable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Requirement to plan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A requirement submitted through the interface returns a schema-conformant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Durable asynchronous execution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The worker is terminated mid-task; the job is reclaimed and the partial trace survives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Trace inspection</w:t>
            </w:r>
          </w:p>
        </w:tc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Every step, duration, and token count of a completed task is 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Feedback capture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Accept, edit, and reject recorded against individual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Correction to memory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A correction produces a candidate; confirmation stores a memory with provenance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Memory application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A later similar requirement retrieves and applies the memory, with its score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Memory reversal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Deleting the memory and re-running removes the resulting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Conflict surfacing</w:t>
            </w:r>
          </w:p>
        </w:tc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Two contradictory rules are detected and presented rather than silently 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Adaptive selection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Selection shifts following recorded outcomes; scores rebuild from the event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Quality measurement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An evaluation run against the versioned dataset reports every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Regression prevention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A degraded prompt version fails the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Adversarial resilience</w:t>
            </w:r>
          </w:p>
        </w:tc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Injection, poisoning, and isolation scenarios all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Operability</w:t>
            </w:r>
          </w:p>
        </w:tc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Degraded modes behave as specified; clean-checkout deployment succeeds; backup restores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Legibility</w:t>
            </w:r>
          </w:p>
        </w:tc>
        <w:tc>
          <w:tcPr/>
          <w:p>
            <w:pPr>
              <w:pStyle w:val="Compact"/>
            </w:pPr>
            <w:r>
              <w:t xml:space="preserve">M7</w:t>
            </w:r>
          </w:p>
        </w:tc>
        <w:tc>
          <w:tcPr/>
          <w:p>
            <w:pPr>
              <w:pStyle w:val="Compact"/>
            </w:pPr>
            <w:r>
              <w:t xml:space="preserve">Demonstration, screenshots, finalized documents, measured figures</w:t>
            </w:r>
          </w:p>
        </w:tc>
      </w:tr>
    </w:tbl>
    <w:p>
      <w:pPr>
        <w:pStyle w:val="BodyText"/>
      </w:pPr>
      <w:r>
        <w:t xml:space="preserve">S6 and S7 together constitute the primary demonstration. S7 establishes causation rather than</w:t>
      </w:r>
      <w:r>
        <w:t xml:space="preserve"> </w:t>
      </w:r>
      <w:r>
        <w:t xml:space="preserve">asserting it. S11 is the evidence that quality control is enforced rather than described.</w:t>
      </w:r>
    </w:p>
    <w:p>
      <w:pPr>
        <w:pStyle w:val="BodyText"/>
      </w:pPr>
      <w:r>
        <w:rPr>
          <w:b/>
          <w:bCs/>
        </w:rPr>
        <w:t xml:space="preserve">Entry criteria for a slice.</w:t>
      </w:r>
    </w:p>
    <w:p>
      <w:pPr>
        <w:pStyle w:val="Compact"/>
        <w:numPr>
          <w:ilvl w:val="0"/>
          <w:numId w:val="1002"/>
        </w:numPr>
      </w:pPr>
      <w:r>
        <w:t xml:space="preserve">Acceptance criteria written and verifiable</w:t>
      </w:r>
    </w:p>
    <w:p>
      <w:pPr>
        <w:pStyle w:val="Compact"/>
        <w:numPr>
          <w:ilvl w:val="0"/>
          <w:numId w:val="1002"/>
        </w:numPr>
      </w:pPr>
      <w:r>
        <w:t xml:space="preserve">Data read and written is defined in the data model</w:t>
      </w:r>
    </w:p>
    <w:p>
      <w:pPr>
        <w:pStyle w:val="Compact"/>
        <w:numPr>
          <w:ilvl w:val="0"/>
          <w:numId w:val="1002"/>
        </w:numPr>
      </w:pPr>
      <w:r>
        <w:t xml:space="preserve">Failure modes named with intended behaviour for each</w:t>
      </w:r>
    </w:p>
    <w:p>
      <w:pPr>
        <w:pStyle w:val="Compact"/>
        <w:numPr>
          <w:ilvl w:val="0"/>
          <w:numId w:val="1002"/>
        </w:numPr>
      </w:pPr>
      <w:r>
        <w:t xml:space="preserve">Every dependent decision either recorded or holding an explicit default</w:t>
      </w:r>
    </w:p>
    <w:p>
      <w:pPr>
        <w:pStyle w:val="Compact"/>
        <w:numPr>
          <w:ilvl w:val="0"/>
          <w:numId w:val="1002"/>
        </w:numPr>
      </w:pPr>
      <w:r>
        <w:t xml:space="preserve">Demonstrable without waiting on a later slice</w:t>
      </w:r>
    </w:p>
    <w:p>
      <w:pPr>
        <w:pStyle w:val="FirstParagraph"/>
      </w:pPr>
      <w:r>
        <w:rPr>
          <w:b/>
          <w:bCs/>
        </w:rPr>
        <w:t xml:space="preserve">Exit criteria for a slice.</w:t>
      </w:r>
    </w:p>
    <w:p>
      <w:pPr>
        <w:pStyle w:val="Compact"/>
        <w:numPr>
          <w:ilvl w:val="0"/>
          <w:numId w:val="1003"/>
        </w:numPr>
      </w:pPr>
      <w:r>
        <w:t xml:space="preserve">Acceptance criteria pass</w:t>
      </w:r>
    </w:p>
    <w:p>
      <w:pPr>
        <w:pStyle w:val="Compact"/>
        <w:numPr>
          <w:ilvl w:val="0"/>
          <w:numId w:val="1003"/>
        </w:numPr>
      </w:pPr>
      <w:r>
        <w:t xml:space="preserve">Unit tests cover the non-trivial logic introduced</w:t>
      </w:r>
    </w:p>
    <w:p>
      <w:pPr>
        <w:pStyle w:val="Compact"/>
        <w:numPr>
          <w:ilvl w:val="0"/>
          <w:numId w:val="1003"/>
        </w:numPr>
      </w:pPr>
      <w:r>
        <w:t xml:space="preserve">Any new data access method is tenant-scoped and carries an isolation test</w:t>
      </w:r>
    </w:p>
    <w:p>
      <w:pPr>
        <w:pStyle w:val="Compact"/>
        <w:numPr>
          <w:ilvl w:val="0"/>
          <w:numId w:val="1003"/>
        </w:numPr>
      </w:pPr>
      <w:r>
        <w:t xml:space="preserve">Failure paths exercised, not only the nominal path</w:t>
      </w:r>
    </w:p>
    <w:p>
      <w:pPr>
        <w:pStyle w:val="Compact"/>
        <w:numPr>
          <w:ilvl w:val="0"/>
          <w:numId w:val="1003"/>
        </w:numPr>
      </w:pPr>
      <w:r>
        <w:t xml:space="preserve">Trace or logging sufficient for diagnosis at a remove of months</w:t>
      </w:r>
    </w:p>
    <w:p>
      <w:pPr>
        <w:pStyle w:val="Compact"/>
        <w:numPr>
          <w:ilvl w:val="0"/>
          <w:numId w:val="1003"/>
        </w:numPr>
      </w:pPr>
      <w:r>
        <w:t xml:space="preserve">Documentation affected by the change updated in the same commit</w:t>
      </w:r>
    </w:p>
    <w:p>
      <w:pPr>
        <w:pStyle w:val="Compact"/>
        <w:numPr>
          <w:ilvl w:val="0"/>
          <w:numId w:val="1003"/>
        </w:numPr>
      </w:pPr>
      <w:r>
        <w:t xml:space="preserve">No claim introduced without supporting evidence</w:t>
      </w:r>
    </w:p>
    <w:bookmarkEnd w:id="52"/>
    <w:bookmarkStart w:id="53" w:name="Xeecbf7512f2d776b7d643306e1ea810e9fd69f3"/>
    <w:p>
      <w:pPr>
        <w:pStyle w:val="Heading3"/>
      </w:pPr>
      <w:r>
        <w:t xml:space="preserve">6.3 Infrastructure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environment</w:t>
            </w:r>
          </w:p>
        </w:tc>
        <w:tc>
          <w:tcPr/>
          <w:p>
            <w:pPr>
              <w:pStyle w:val="Compact"/>
            </w:pPr>
            <w:r>
              <w:t xml:space="preserve">Local workstation. Containerized datastore, host-resident inference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integration</w:t>
            </w:r>
          </w:p>
        </w:tc>
        <w:tc>
          <w:tcPr/>
          <w:p>
            <w:pPr>
              <w:pStyle w:val="Compact"/>
            </w:pPr>
            <w:r>
              <w:t xml:space="preserve">Hosted runners. Ephemeral datastore container. Fake inference provider for integration; pinned model for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Container composition, startable from a clean checkout by one command. Inference runtime provisioned on the host, documented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Version control revert plus a documented dump and restore. The restore procedure is drilled at least once, because an untested backup is not a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Self-supported. Defects recorded as repository issues</w:t>
            </w:r>
          </w:p>
        </w:tc>
      </w:tr>
    </w:tbl>
    <w:bookmarkEnd w:id="53"/>
    <w:bookmarkStart w:id="54" w:name="Xab1870730496f1a9f001ae9640726218f9a7584"/>
    <w:p>
      <w:pPr>
        <w:pStyle w:val="Heading3"/>
      </w:pPr>
      <w:r>
        <w:t xml:space="preserve">6.4 Product acceptance plan</w:t>
      </w:r>
    </w:p>
    <w:p>
      <w:pPr>
        <w:pStyle w:val="FirstParagraph"/>
      </w:pPr>
      <w:r>
        <w:t xml:space="preserve">Acceptance requires every criterion below to be demonstrable end to 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Traces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</w:t>
            </w:r>
          </w:p>
        </w:tc>
        <w:tc>
          <w:tcPr/>
          <w:p>
            <w:pPr>
              <w:pStyle w:val="Compact"/>
            </w:pPr>
            <w:r>
              <w:t xml:space="preserve">A requirement submitted through the interface returns a schema-conformant plan</w:t>
            </w:r>
          </w:p>
        </w:tc>
        <w:tc>
          <w:tcPr/>
          <w:p>
            <w:pPr>
              <w:pStyle w:val="Compact"/>
            </w:pPr>
            <w:r>
              <w:t xml:space="preserve">FR-1, FR-2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The trace exposes retrieved memories with scores, model calls, tokens, and durations</w:t>
            </w:r>
          </w:p>
        </w:tc>
        <w:tc>
          <w:tcPr/>
          <w:p>
            <w:pPr>
              <w:pStyle w:val="Compact"/>
            </w:pPr>
            <w:r>
              <w:t xml:space="preserve">FR-8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A rejection with a freeform correction produces a candidate memory for confirmation</w:t>
            </w:r>
          </w:p>
        </w:tc>
        <w:tc>
          <w:tcPr/>
          <w:p>
            <w:pPr>
              <w:pStyle w:val="Compact"/>
            </w:pPr>
            <w:r>
              <w:t xml:space="preserve">FR-5, FR-6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AC-4</w:t>
            </w:r>
          </w:p>
        </w:tc>
        <w:tc>
          <w:tcPr/>
          <w:p>
            <w:pPr>
              <w:pStyle w:val="Compact"/>
            </w:pPr>
            <w:r>
              <w:t xml:space="preserve">A later structurally similar requirement retrieves and applies that memory without restatement</w:t>
            </w:r>
          </w:p>
        </w:tc>
        <w:tc>
          <w:tcPr/>
          <w:p>
            <w:pPr>
              <w:pStyle w:val="Compact"/>
            </w:pPr>
            <w:r>
              <w:t xml:space="preserve">FR-4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AC-5</w:t>
            </w:r>
          </w:p>
        </w:tc>
        <w:tc>
          <w:tcPr/>
          <w:p>
            <w:pPr>
              <w:pStyle w:val="Compact"/>
            </w:pPr>
            <w:r>
              <w:t xml:space="preserve">Memory browse, edit, pin, and delete all function. Deletion prevents subsequent retrieval</w:t>
            </w:r>
          </w:p>
        </w:tc>
        <w:tc>
          <w:tcPr/>
          <w:p>
            <w:pPr>
              <w:pStyle w:val="Compact"/>
            </w:pPr>
            <w:r>
              <w:t xml:space="preserve">FR-7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Two conflicting memories are detected and presented rather than silently resolved</w:t>
            </w:r>
          </w:p>
        </w:tc>
        <w:tc>
          <w:tcPr/>
          <w:p>
            <w:pPr>
              <w:pStyle w:val="Compact"/>
            </w:pPr>
            <w:r>
              <w:t xml:space="preserve">FR-6.5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AC-7</w:t>
            </w:r>
          </w:p>
        </w:tc>
        <w:tc>
          <w:tcPr/>
          <w:p>
            <w:pPr>
              <w:pStyle w:val="Compact"/>
            </w:pPr>
            <w:r>
              <w:t xml:space="preserve">The evaluation suite executes against the committed dataset and reports every metric</w:t>
            </w:r>
          </w:p>
        </w:tc>
        <w:tc>
          <w:tcPr/>
          <w:p>
            <w:pPr>
              <w:pStyle w:val="Compact"/>
            </w:pPr>
            <w:r>
              <w:t xml:space="preserve">FR-9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deliberately degraded prompt version is blocked by the regression gate</w:t>
            </w:r>
          </w:p>
        </w:tc>
        <w:tc>
          <w:tcPr/>
          <w:p>
            <w:pPr>
              <w:pStyle w:val="Compact"/>
            </w:pPr>
            <w:r>
              <w:t xml:space="preserve">FR-10.1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AC-9</w:t>
            </w:r>
          </w:p>
        </w:tc>
        <w:tc>
          <w:tcPr/>
          <w:p>
            <w:pPr>
              <w:pStyle w:val="Compact"/>
            </w:pPr>
            <w:r>
              <w:t xml:space="preserve">Selection demonstrably shifts following recorded outcomes, with exploration remaining bounded</w:t>
            </w:r>
          </w:p>
        </w:tc>
        <w:tc>
          <w:tcPr/>
          <w:p>
            <w:pPr>
              <w:pStyle w:val="Compact"/>
            </w:pPr>
            <w:r>
              <w:t xml:space="preserve">FR-3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AC-10</w:t>
            </w:r>
          </w:p>
        </w:tc>
        <w:tc>
          <w:tcPr/>
          <w:p>
            <w:pPr>
              <w:pStyle w:val="Compact"/>
            </w:pPr>
            <w:r>
              <w:t xml:space="preserve">The adversarial suite passes: injection, poisoning, isolation</w:t>
            </w:r>
          </w:p>
        </w:tc>
        <w:tc>
          <w:tcPr/>
          <w:p>
            <w:pPr>
              <w:pStyle w:val="Compact"/>
            </w:pPr>
            <w:r>
              <w:t xml:space="preserve">NFR-15 to NFR-22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AC-11</w:t>
            </w:r>
          </w:p>
        </w:tc>
        <w:tc>
          <w:tcPr/>
          <w:p>
            <w:pPr>
              <w:pStyle w:val="Compact"/>
            </w:pPr>
            <w:r>
              <w:t xml:space="preserve">Deployment from a clean checkout produces a working system by a single command</w:t>
            </w:r>
          </w:p>
        </w:tc>
        <w:tc>
          <w:tcPr/>
          <w:p>
            <w:pPr>
              <w:pStyle w:val="Compact"/>
            </w:pPr>
            <w:r>
              <w:t xml:space="preserve">NFR-32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AC-12</w:t>
            </w:r>
          </w:p>
        </w:tc>
        <w:tc>
          <w:tcPr/>
          <w:p>
            <w:pPr>
              <w:pStyle w:val="Compact"/>
            </w:pPr>
            <w:r>
              <w:t xml:space="preserve">The inference provider can be changed without code modification</w:t>
            </w:r>
          </w:p>
        </w:tc>
        <w:tc>
          <w:tcPr/>
          <w:p>
            <w:pPr>
              <w:pStyle w:val="Compact"/>
            </w:pPr>
            <w:r>
              <w:t xml:space="preserve">FR-11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AC-13</w:t>
            </w:r>
          </w:p>
        </w:tc>
        <w:tc>
          <w:tcPr/>
          <w:p>
            <w:pPr>
              <w:pStyle w:val="Compact"/>
            </w:pPr>
            <w:r>
              <w:t xml:space="preserve">The Correction Recurrence Rate is measured and reported across at least two runs, including any deterioration</w:t>
            </w:r>
          </w:p>
        </w:tc>
        <w:tc>
          <w:tcPr/>
          <w:p>
            <w:pPr>
              <w:pStyle w:val="Compact"/>
            </w:pPr>
            <w:r>
              <w:t xml:space="preserve">FR-9.2</w:t>
            </w:r>
          </w:p>
        </w:tc>
      </w:tr>
    </w:tbl>
    <w:p>
      <w:pPr>
        <w:pStyle w:val="BodyText"/>
      </w:pPr>
      <w:r>
        <w:t xml:space="preserve">AC-8 carries the greatest evidential weight. A gate that demonstrably blocks a degrading change is</w:t>
      </w:r>
      <w:r>
        <w:t xml:space="preserve"> </w:t>
      </w:r>
      <w:r>
        <w:t xml:space="preserve">the distinction between an enforced quality system and a described one.</w:t>
      </w:r>
    </w:p>
    <w:bookmarkEnd w:id="54"/>
    <w:bookmarkEnd w:id="55"/>
    <w:bookmarkStart w:id="66" w:name="Xdd00325f4e37b519f240e18c1164afedc0f763d"/>
    <w:p>
      <w:pPr>
        <w:pStyle w:val="Heading2"/>
      </w:pPr>
      <w:r>
        <w:t xml:space="preserve">7. Supporting process plans</w:t>
      </w:r>
    </w:p>
    <w:bookmarkStart w:id="56" w:name="Xcae094c149891a0bb68319fd6671017a30b3e94"/>
    <w:p>
      <w:pPr>
        <w:pStyle w:val="Heading3"/>
      </w:pPr>
      <w:r>
        <w:t xml:space="preserve">7.1 Configuration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and documents</w:t>
            </w:r>
          </w:p>
        </w:tc>
        <w:tc>
          <w:tcPr/>
          <w:p>
            <w:pPr>
              <w:pStyle w:val="Compact"/>
            </w:pPr>
            <w:r>
              <w:t xml:space="preserve">Version control. Documents authored in Markdown alongside the code, reviewed through the same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Distributable documents</w:t>
            </w:r>
          </w:p>
        </w:tc>
        <w:tc>
          <w:tcPr/>
          <w:p>
            <w:pPr>
              <w:pStyle w:val="Compact"/>
            </w:pPr>
            <w:r>
              <w:t xml:space="preserve">Generated from Markdown into DOCX and PDF. Generated artifacts are never edited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Forward-only versioned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Prompts and configuration</w:t>
            </w:r>
          </w:p>
        </w:tc>
        <w:tc>
          <w:tcPr/>
          <w:p>
            <w:pPr>
              <w:pStyle w:val="Compact"/>
            </w:pPr>
            <w:r>
              <w:t xml:space="preserve">Versioned records in the datastore, activation gated on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Playbooks</w:t>
            </w:r>
          </w:p>
        </w:tc>
        <w:tc>
          <w:tcPr/>
          <w:p>
            <w:pPr>
              <w:pStyle w:val="Compact"/>
            </w:pPr>
            <w:r>
              <w:t xml:space="preserve">Versioned repository data, changed through review and the evaluation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dataset</w:t>
            </w:r>
          </w:p>
        </w:tc>
        <w:tc>
          <w:tcPr/>
          <w:p>
            <w:pPr>
              <w:pStyle w:val="Compact"/>
            </w:pPr>
            <w:r>
              <w:t xml:space="preserve">Content-hash versioned. Any edit produces a new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Pinned with a lockfile. Base images pinned by digest</w:t>
            </w:r>
          </w:p>
        </w:tc>
      </w:tr>
    </w:tbl>
    <w:p>
      <w:pPr>
        <w:pStyle w:val="BodyText"/>
      </w:pPr>
      <w:r>
        <w:t xml:space="preserve">Document status values, in lifecycle order: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</w:t>
      </w:r>
      <w:r>
        <w:t xml:space="preserve">.</w:t>
      </w:r>
      <w:r>
        <w:t xml:space="preserve"> </w:t>
      </w:r>
      <w:r>
        <w:t xml:space="preserve">Versions are</w:t>
      </w:r>
      <w:r>
        <w:t xml:space="preserve"> </w:t>
      </w:r>
      <w:r>
        <w:rPr>
          <w:rStyle w:val="VerbatimChar"/>
        </w:rPr>
        <w:t xml:space="preserve">MAJOR.MINOR</w:t>
      </w:r>
      <w:r>
        <w:t xml:space="preserve">; minor for edits within a status, major on approval.</w:t>
      </w:r>
    </w:p>
    <w:bookmarkEnd w:id="56"/>
    <w:bookmarkStart w:id="58" w:name="Xc2872f6a5b264a337479d80eeb52d3b38f1fe31"/>
    <w:p>
      <w:pPr>
        <w:pStyle w:val="Heading3"/>
      </w:pPr>
      <w:r>
        <w:t xml:space="preserve">7.2 Verification and validation</w:t>
      </w:r>
    </w:p>
    <w:p>
      <w:pPr>
        <w:pStyle w:val="FirstParagraph"/>
      </w:pPr>
      <w:r>
        <w:t xml:space="preserve">Defined in</w:t>
      </w:r>
      <w:r>
        <w:t xml:space="preserve"> </w:t>
      </w:r>
      <w:hyperlink r:id="rId39">
        <w:r>
          <w:rPr>
            <w:rStyle w:val="Hyperlink"/>
          </w:rPr>
          <w:t xml:space="preserve">NOVA-STP-001</w:t>
        </w:r>
      </w:hyperlink>
      <w:r>
        <w:t xml:space="preserve">. Requirement-to-verification traceability is in</w:t>
      </w:r>
      <w:r>
        <w:t xml:space="preserve"> </w:t>
      </w:r>
      <w:hyperlink r:id="rId57">
        <w:r>
          <w:rPr>
            <w:rStyle w:val="Hyperlink"/>
          </w:rPr>
          <w:t xml:space="preserve">NOVA-SRS-001 section 4</w:t>
        </w:r>
      </w:hyperlink>
      <w:r>
        <w:t xml:space="preserve">.</w:t>
      </w:r>
    </w:p>
    <w:bookmarkEnd w:id="58"/>
    <w:bookmarkStart w:id="59" w:name="X40be4b4eb01521821dac3ece0d2749cc1d0723c"/>
    <w:p>
      <w:pPr>
        <w:pStyle w:val="Heading3"/>
      </w:pPr>
      <w:r>
        <w:t xml:space="preserve">7.3 Documentation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Reviewed 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NOVA-VS-001 Vision and Scope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Prior to M1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NOVA-SRS-001 SRS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Prior to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NOVA-SAD-001 SAD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Updated at every milestone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NOVA-STP-001 Test Plan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Prior to M2, updated at 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NOVA-TM-001 Threat Model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Prior to M3, updated at M5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NOVA-SDP-001 SDP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Every milestone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NOVA-UI-001 UI Design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Prior to interface work in M2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ADRs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At the point of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 reports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On completion of each spike</w:t>
            </w:r>
          </w:p>
        </w:tc>
      </w:tr>
    </w:tbl>
    <w:p>
      <w:pPr>
        <w:pStyle w:val="BodyText"/>
      </w:pPr>
      <w:r>
        <w:t xml:space="preserve">Architecture decision records are written when the decision is made, not retrospectively.</w:t>
      </w:r>
      <w:r>
        <w:t xml:space="preserve"> </w:t>
      </w:r>
      <w:r>
        <w:t xml:space="preserve">Retrospective records read as reconstruction and an experienced reviewer will recognize them.</w:t>
      </w:r>
    </w:p>
    <w:p>
      <w:pPr>
        <w:pStyle w:val="BodyText"/>
      </w:pPr>
      <w:r>
        <w:t xml:space="preserve">Work suited to low-availability sessions, none of which blocks other work: evaluation dataset</w:t>
      </w:r>
      <w:r>
        <w:t xml:space="preserve"> </w:t>
      </w:r>
      <w:r>
        <w:t xml:space="preserve">authoring from M2 onward; decision records as decisions occur; documentation drafting; screenshot</w:t>
      </w:r>
      <w:r>
        <w:t xml:space="preserve"> </w:t>
      </w:r>
      <w:r>
        <w:t xml:space="preserve">capture as capability lands, so that M7 is not compressed.</w:t>
      </w:r>
    </w:p>
    <w:bookmarkEnd w:id="59"/>
    <w:bookmarkStart w:id="60" w:name="Xeaf06244fbd1df8d43c18f140a700641269ec9d"/>
    <w:p>
      <w:pPr>
        <w:pStyle w:val="Heading3"/>
      </w:pPr>
      <w:r>
        <w:t xml:space="preserve">7.4 Quality assurance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 and type checking</w:t>
            </w:r>
          </w:p>
        </w:tc>
        <w:tc>
          <w:tcPr/>
          <w:p>
            <w:pPr>
              <w:pStyle w:val="Compact"/>
            </w:pPr>
            <w:r>
              <w:t xml:space="preserve">Blocks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with coverage floor on core logic</w:t>
            </w:r>
          </w:p>
        </w:tc>
        <w:tc>
          <w:tcPr/>
          <w:p>
            <w:pPr>
              <w:pStyle w:val="Compact"/>
            </w:pPr>
            <w:r>
              <w:t xml:space="preserve">Blocks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Blocks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 description drift</w:t>
            </w:r>
          </w:p>
        </w:tc>
        <w:tc>
          <w:tcPr/>
          <w:p>
            <w:pPr>
              <w:pStyle w:val="Compact"/>
            </w:pPr>
            <w:r>
              <w:t xml:space="preserve">Blocks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suite</w:t>
            </w:r>
          </w:p>
        </w:tc>
        <w:tc>
          <w:tcPr/>
          <w:p>
            <w:pPr>
              <w:pStyle w:val="Compact"/>
            </w:pPr>
            <w:r>
              <w:t xml:space="preserve">Blocks merge unconditionally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Cross-tenant isolation</w:t>
            </w:r>
          </w:p>
        </w:tc>
        <w:tc>
          <w:tcPr/>
          <w:p>
            <w:pPr>
              <w:pStyle w:val="Compact"/>
            </w:pPr>
            <w:r>
              <w:t xml:space="preserve">Blocks merge unconditionally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 regression gate</w:t>
            </w:r>
          </w:p>
        </w:tc>
        <w:tc>
          <w:tcPr/>
          <w:p>
            <w:pPr>
              <w:pStyle w:val="Compact"/>
            </w:pPr>
            <w:r>
              <w:t xml:space="preserve">Blocks merge on prompt, playbook, or configuration change</w:t>
            </w:r>
          </w:p>
        </w:tc>
      </w:tr>
    </w:tbl>
    <w:p>
      <w:pPr>
        <w:pStyle w:val="BodyText"/>
      </w:pPr>
      <w:r>
        <w:t xml:space="preserve">Thresholds derive from measured variance rather than from intent. A gate that flaps is disabled in</w:t>
      </w:r>
      <w:r>
        <w:t xml:space="preserve"> </w:t>
      </w:r>
      <w:r>
        <w:t xml:space="preserve">practice, and a disabled gate is worse than none because it presents as protection.</w:t>
      </w:r>
    </w:p>
    <w:bookmarkEnd w:id="60"/>
    <w:bookmarkStart w:id="61" w:name="X741c186aed78129b1aa36f7c8195f3b0337d4b1"/>
    <w:p>
      <w:pPr>
        <w:pStyle w:val="Heading3"/>
      </w:pPr>
      <w:r>
        <w:t xml:space="preserve">7.5 Reviews and audits</w:t>
      </w:r>
    </w:p>
    <w:p>
      <w:pPr>
        <w:pStyle w:val="FirstParagraph"/>
      </w:pPr>
      <w:r>
        <w:t xml:space="preserve">No independent reviewer is available. Substitutes:</w:t>
      </w:r>
    </w:p>
    <w:p>
      <w:pPr>
        <w:pStyle w:val="Compact"/>
        <w:numPr>
          <w:ilvl w:val="0"/>
          <w:numId w:val="1004"/>
        </w:numPr>
      </w:pPr>
      <w:r>
        <w:t xml:space="preserve">Automated gates as the primary review mechanism</w:t>
      </w:r>
    </w:p>
    <w:p>
      <w:pPr>
        <w:pStyle w:val="Compact"/>
        <w:numPr>
          <w:ilvl w:val="0"/>
          <w:numId w:val="1004"/>
        </w:numPr>
      </w:pPr>
      <w:r>
        <w:t xml:space="preserve">A documentation accuracy pass at M7, tracing every stated claim to a test, a metric, or a decision</w:t>
      </w:r>
      <w:r>
        <w:t xml:space="preserve"> </w:t>
      </w:r>
      <w:r>
        <w:t xml:space="preserve">record</w:t>
      </w:r>
    </w:p>
    <w:p>
      <w:pPr>
        <w:pStyle w:val="Compact"/>
        <w:numPr>
          <w:ilvl w:val="0"/>
          <w:numId w:val="1004"/>
        </w:numPr>
      </w:pPr>
      <w:r>
        <w:t xml:space="preserve">Charter-based exploratory sessions, with findings recorded as issues rather than corrected silently</w:t>
      </w:r>
    </w:p>
    <w:p>
      <w:pPr>
        <w:pStyle w:val="Compact"/>
        <w:numPr>
          <w:ilvl w:val="0"/>
          <w:numId w:val="1004"/>
        </w:numPr>
      </w:pPr>
      <w:r>
        <w:t xml:space="preserve">One external reader for document comprehension at M7</w:t>
      </w:r>
    </w:p>
    <w:bookmarkEnd w:id="61"/>
    <w:bookmarkStart w:id="62" w:name="X485dae7fa532fda3220b1a0641698a9764c7c45"/>
    <w:p>
      <w:pPr>
        <w:pStyle w:val="Heading3"/>
      </w:pPr>
      <w:r>
        <w:t xml:space="preserve">7.6 Claim discipline</w:t>
      </w:r>
    </w:p>
    <w:p>
      <w:pPr>
        <w:pStyle w:val="FirstParagraph"/>
      </w:pPr>
      <w:r>
        <w:t xml:space="preserve">No performance, quality, or improvement figure appears in any document, repository README, or</w:t>
      </w:r>
      <w:r>
        <w:t xml:space="preserve"> </w:t>
      </w:r>
      <w:r>
        <w:t xml:space="preserve">external material until it has been measured and can be reproduced. Unmeasured values appear as</w:t>
      </w:r>
      <w:r>
        <w:t xml:space="preserve"> </w:t>
      </w:r>
      <w:r>
        <w:t xml:space="preserve">bracketed placeholders.</w:t>
      </w:r>
    </w:p>
    <w:p>
      <w:pPr>
        <w:pStyle w:val="BodyText"/>
      </w:pPr>
      <w:r>
        <w:rPr>
          <w:b/>
          <w:bCs/>
        </w:rPr>
        <w:t xml:space="preserve">A placeholder that cannot be filled becomes a removed claim, not a softened one.</w:t>
      </w:r>
    </w:p>
    <w:p>
      <w:pPr>
        <w:pStyle w:val="BodyText"/>
      </w:pPr>
      <w:r>
        <w:t xml:space="preserve">Measured figures are stated with their method, sample size, and reference configuration. Figures</w:t>
      </w:r>
      <w:r>
        <w:t xml:space="preserve"> </w:t>
      </w:r>
      <w:r>
        <w:t xml:space="preserve">without that qualification are not reproducible and are therefore not claims.</w:t>
      </w:r>
    </w:p>
    <w:p>
      <w:pPr>
        <w:pStyle w:val="BodyText"/>
      </w:pPr>
      <w:r>
        <w:t xml:space="preserve">Until a trained model exists and has been measured, all material states that the system does not</w:t>
      </w:r>
      <w:r>
        <w:t xml:space="preserve"> </w:t>
      </w:r>
      <w:r>
        <w:t xml:space="preserve">fine-tune, in the present tense. The roadmap may record fine-tuning as planned; a capability</w:t>
      </w:r>
      <w:r>
        <w:t xml:space="preserve"> </w:t>
      </w:r>
      <w:r>
        <w:t xml:space="preserve">statement may not.</w:t>
      </w:r>
    </w:p>
    <w:bookmarkEnd w:id="62"/>
    <w:bookmarkStart w:id="64" w:name="Xfa2c10f208d562a4518f91b2c48dd2e8281478b"/>
    <w:p>
      <w:pPr>
        <w:pStyle w:val="Heading3"/>
      </w:pPr>
      <w:r>
        <w:t xml:space="preserve">7.7 Problem resolution</w:t>
      </w:r>
    </w:p>
    <w:p>
      <w:pPr>
        <w:pStyle w:val="FirstParagraph"/>
      </w:pPr>
      <w:r>
        <w:t xml:space="preserve">Defect severity classification and response are defined in</w:t>
      </w:r>
      <w:r>
        <w:t xml:space="preserve"> </w:t>
      </w:r>
      <w:hyperlink r:id="rId63">
        <w:r>
          <w:rPr>
            <w:rStyle w:val="Hyperlink"/>
          </w:rPr>
          <w:t xml:space="preserve">NOVA-STP-001 section 9</w:t>
        </w:r>
      </w:hyperlink>
      <w:r>
        <w:t xml:space="preserve">. Every defect of severity S1 or S2</w:t>
      </w:r>
      <w:r>
        <w:t xml:space="preserve"> </w:t>
      </w:r>
      <w:r>
        <w:t xml:space="preserve">receives a failing test before the corrective change.</w:t>
      </w:r>
    </w:p>
    <w:bookmarkEnd w:id="64"/>
    <w:bookmarkStart w:id="65" w:name="Xbcf479bcc6edf43e4ce2d9d3ce7398b6dc0a224"/>
    <w:p>
      <w:pPr>
        <w:pStyle w:val="Heading3"/>
      </w:pPr>
      <w:r>
        <w:t xml:space="preserve">7.8 Process improvement</w:t>
      </w:r>
    </w:p>
    <w:p>
      <w:pPr>
        <w:pStyle w:val="FirstParagraph"/>
      </w:pPr>
      <w:r>
        <w:t xml:space="preserve">Effort estimates are compared against actuals at each milestone boundary and the variance recorded,</w:t>
      </w:r>
      <w:r>
        <w:t xml:space="preserve"> </w:t>
      </w:r>
      <w:r>
        <w:t xml:space="preserve">so that later estimates carry some historical basis rather than none.</w:t>
      </w:r>
    </w:p>
    <w:bookmarkEnd w:id="65"/>
    <w:bookmarkEnd w:id="66"/>
    <w:bookmarkStart w:id="67" w:name="Xa5126e695b5ab2ae37a85bf81ca68f41705b850"/>
    <w:p>
      <w:pPr>
        <w:pStyle w:val="Heading2"/>
      </w:pPr>
      <w:r>
        <w:t xml:space="preserve">8. Post-release roadmap</w:t>
      </w:r>
    </w:p>
    <w:p>
      <w:pPr>
        <w:pStyle w:val="FirstParagraph"/>
      </w:pPr>
      <w:r>
        <w:t xml:space="preserve">Ordered by anticipated value relative to effort. Not committed.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Executable test code generation</w:t>
            </w:r>
          </w:p>
        </w:tc>
        <w:tc>
          <w:tcPr/>
          <w:p>
            <w:pPr>
              <w:pStyle w:val="Compact"/>
            </w:pPr>
            <w:r>
              <w:t xml:space="preserve">Highest perceived value, largest scope increase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Multi-user authentication</w:t>
            </w:r>
          </w:p>
        </w:tc>
        <w:tc>
          <w:tcPr/>
          <w:p>
            <w:pPr>
              <w:pStyle w:val="Compact"/>
            </w:pPr>
            <w:r>
              <w:t xml:space="preserve">Schema is prepared. Adds substantive backend and security 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Defect report structuring as a second task type</w:t>
            </w:r>
          </w:p>
        </w:tc>
        <w:tc>
          <w:tcPr/>
          <w:p>
            <w:pPr>
              <w:pStyle w:val="Compact"/>
            </w:pPr>
            <w:r>
              <w:t xml:space="preserve">Approximately 80% infrastructure reuse. Demonstrates architectural generality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Issue tracker ingestion</w:t>
            </w:r>
          </w:p>
        </w:tc>
        <w:tc>
          <w:tcPr/>
          <w:p>
            <w:pPr>
              <w:pStyle w:val="Compact"/>
            </w:pPr>
            <w:r>
              <w:t xml:space="preserve">Removes manual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Team-shared memory with review</w:t>
            </w:r>
          </w:p>
        </w:tc>
        <w:tc>
          <w:tcPr/>
          <w:p>
            <w:pPr>
              <w:pStyle w:val="Compact"/>
            </w:pPr>
            <w:r>
              <w:t xml:space="preserve">Requires item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Hosted deployment</w:t>
            </w:r>
          </w:p>
        </w:tc>
        <w:tc>
          <w:tcPr/>
          <w:p>
            <w:pPr>
              <w:pStyle w:val="Compact"/>
            </w:pPr>
            <w:r>
              <w:t xml:space="preserve">Only if a publicly reachable instance becomes worthwhile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Model fine-tuning</w:t>
            </w:r>
          </w:p>
        </w:tc>
        <w:tc>
          <w:tcPr/>
          <w:p>
            <w:pPr>
              <w:pStyle w:val="Compact"/>
            </w:pPr>
            <w:r>
              <w:t xml:space="preserve">Prerequisites below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item 7.</w:t>
      </w:r>
      <w:r>
        <w:t xml:space="preserve"> </w:t>
      </w:r>
      <w:r>
        <w:t xml:space="preserve">The initial release produces every input a fine-tune would require, which is why it</w:t>
      </w:r>
      <w:r>
        <w:t xml:space="preserve"> </w:t>
      </w:r>
      <w:r>
        <w:t xml:space="preserve">is sequenced last rather than excluded.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labelled dataset of sufficient volume</w:t>
            </w:r>
          </w:p>
        </w:tc>
        <w:tc>
          <w:tcPr/>
          <w:p>
            <w:pPr>
              <w:pStyle w:val="Compact"/>
            </w:pPr>
            <w:r>
              <w:t xml:space="preserve">Accumulated feedback events and confirmed corrections. The initial release is the collection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measured baseline</w:t>
            </w:r>
          </w:p>
        </w:tc>
        <w:tc>
          <w:tcPr/>
          <w:p>
            <w:pPr>
              <w:pStyle w:val="Compact"/>
            </w:pPr>
            <w:r>
              <w:t xml:space="preserve">Evaluation metrics across at least two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held-out set never used in training</w:t>
            </w:r>
          </w:p>
        </w:tc>
        <w:tc>
          <w:tcPr/>
          <w:p>
            <w:pPr>
              <w:pStyle w:val="Compact"/>
            </w:pPr>
            <w:r>
              <w:t xml:space="preserve">The dataset split, fixed and documented before any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reproducible training configuration</w:t>
            </w:r>
          </w:p>
        </w:tc>
        <w:tc>
          <w:tcPr/>
          <w:p>
            <w:pPr>
              <w:pStyle w:val="Compact"/>
            </w:pPr>
            <w:r>
              <w:t xml:space="preserve">Pinned base model, seed, hyperparameters, dataset version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 hardware headroom</w:t>
            </w:r>
          </w:p>
        </w:tc>
        <w:tc>
          <w:tcPr/>
          <w:p>
            <w:pPr>
              <w:pStyle w:val="Compact"/>
            </w:pPr>
            <w:r>
              <w:t xml:space="preserve">Requires its own spike. 6 GB is constraining, and sequence length and batch size will bind</w:t>
            </w:r>
          </w:p>
        </w:tc>
      </w:tr>
    </w:tbl>
    <w:p>
      <w:pPr>
        <w:pStyle w:val="BodyText"/>
      </w:pPr>
      <w:r>
        <w:t xml:space="preserve">Should the trained model fail to exceed the retrieval-based baseline, that is a legitimate finding</w:t>
      </w:r>
      <w:r>
        <w:t xml:space="preserve"> </w:t>
      </w:r>
      <w:r>
        <w:t xml:space="preserve">and is published as such. Small-model fine-tuning frequently loses to effective retrieval. A negative</w:t>
      </w:r>
      <w:r>
        <w:t xml:space="preserve"> </w:t>
      </w:r>
      <w:r>
        <w:t xml:space="preserve">result measured correctly is a stronger artifact than a positive result that cannot be defended.</w:t>
      </w:r>
    </w:p>
    <w:p>
      <w:pPr>
        <w:pStyle w:val="BodyText"/>
      </w:pPr>
      <w:r>
        <w:t xml:space="preserve">None of this permits describing the system as self-training before a trained model exists.</w:t>
      </w:r>
    </w:p>
    <w:p>
      <w:r>
        <w:pict>
          <v:rect style="width:0;height:1.5pt" o:hralign="center" o:hrstd="t" o:hr="t"/>
        </w:pict>
      </w:r>
    </w:p>
    <w:bookmarkEnd w:id="67"/>
    <w:bookmarkStart w:id="68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CON-7 recorded. G1 resolved by NOVA-SPK-002. Entry criterion 10 unblocked. M1 status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G2 resolved by NOVA-SPK-001 v1.1. M1 status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G3 resolved by NOVA-UI-001. Entry criterion 7 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G4 resolved by NOVA-SPK-003. R-09 closed. No entry condition remains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Deployment composition added for the datastore. M1 outstanding narrowed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Forward-only migration runner and the baseline migration added. NFR-33 has a 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Inference gateway added with local and fake providers. M1 outstanding is continuous integration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Continuous integration added. M1 meets its exit criteria; the workflow itself is unrun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2026-09-10</w:t>
            </w:r>
          </w:p>
        </w:tc>
        <w:tc>
          <w:tcPr/>
          <w:p>
            <w:pPr>
              <w:pStyle w:val="Compact"/>
            </w:pPr>
            <w:r>
              <w:t xml:space="preserve">Laxmi Poudel</w:t>
            </w:r>
          </w:p>
        </w:tc>
        <w:tc>
          <w:tcPr/>
          <w:p>
            <w:pPr>
              <w:pStyle w:val="Compact"/>
            </w:pPr>
            <w:r>
              <w:t xml:space="preserve">Continuous integration green on its first run. M1 complete</w:t>
            </w:r>
          </w:p>
        </w:tc>
      </w:tr>
    </w:tbl>
    <w:bookmarkEnd w:id="68"/>
    <w:bookmarkEnd w:id="69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42" Target="adr/" TargetMode="External" /><Relationship Type="http://schemas.openxmlformats.org/officeDocument/2006/relationships/hyperlink" Id="rId44" Target="adr/0005-select-an-embedding-model-and-vector-dimension.md" TargetMode="External" /><Relationship Type="http://schemas.openxmlformats.org/officeDocument/2006/relationships/hyperlink" Id="rId41" Target="architecture.md" TargetMode="External" /><Relationship Type="http://schemas.openxmlformats.org/officeDocument/2006/relationships/hyperlink" Id="rId43" Target="decision-log.md" TargetMode="External" /><Relationship Type="http://schemas.openxmlformats.org/officeDocument/2006/relationships/hyperlink" Id="rId34" Target="risk-register.md" TargetMode="External" /><Relationship Type="http://schemas.openxmlformats.org/officeDocument/2006/relationships/hyperlink" Id="rId48" Target="spikes/2026-09-07-model-selection.md" TargetMode="External" /><Relationship Type="http://schemas.openxmlformats.org/officeDocument/2006/relationships/hyperlink" Id="rId46" Target="spikes/2026-09-08-embedding-selection.md" TargetMode="External" /><Relationship Type="http://schemas.openxmlformats.org/officeDocument/2006/relationships/hyperlink" Id="rId47" Target="spikes/2026-09-09-container-to-host-reachability.md" TargetMode="External" /><Relationship Type="http://schemas.openxmlformats.org/officeDocument/2006/relationships/hyperlink" Id="rId38" Target="srs.md" TargetMode="External" /><Relationship Type="http://schemas.openxmlformats.org/officeDocument/2006/relationships/hyperlink" Id="rId15" Target="srs.md#14-definitions-acronyms-and-abbreviations" TargetMode="External" /><Relationship Type="http://schemas.openxmlformats.org/officeDocument/2006/relationships/hyperlink" Id="rId57" Target="srs.md#4-verification" TargetMode="External" /><Relationship Type="http://schemas.openxmlformats.org/officeDocument/2006/relationships/hyperlink" Id="rId39" Target="test-plan.md" TargetMode="External" /><Relationship Type="http://schemas.openxmlformats.org/officeDocument/2006/relationships/hyperlink" Id="rId32" Target="test-plan.md#55-metrics-to-be-collected" TargetMode="External" /><Relationship Type="http://schemas.openxmlformats.org/officeDocument/2006/relationships/hyperlink" Id="rId63" Target="test-plan.md#9-defect-classification" TargetMode="External" /><Relationship Type="http://schemas.openxmlformats.org/officeDocument/2006/relationships/hyperlink" Id="rId45" Target="threat-model.md" TargetMode="External" /><Relationship Type="http://schemas.openxmlformats.org/officeDocument/2006/relationships/hyperlink" Id="rId40" Target="ui-design.md" TargetMode="External" /><Relationship Type="http://schemas.openxmlformats.org/officeDocument/2006/relationships/hyperlink" Id="rId37" Target="vision-and-scope.md" TargetMode="External" /><Relationship Type="http://schemas.openxmlformats.org/officeDocument/2006/relationships/hyperlink" Id="rId9" Target="vision-and-scope.md#13-business-objectives-and-success-criteria" TargetMode="External" /><Relationship Type="http://schemas.openxmlformats.org/officeDocument/2006/relationships/hyperlink" Id="rId10" Target="vision-and-scope.md#3-scope-and-limita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adr/" TargetMode="External" /><Relationship Type="http://schemas.openxmlformats.org/officeDocument/2006/relationships/hyperlink" Id="rId44" Target="adr/0005-select-an-embedding-model-and-vector-dimension.md" TargetMode="External" /><Relationship Type="http://schemas.openxmlformats.org/officeDocument/2006/relationships/hyperlink" Id="rId41" Target="architecture.md" TargetMode="External" /><Relationship Type="http://schemas.openxmlformats.org/officeDocument/2006/relationships/hyperlink" Id="rId43" Target="decision-log.md" TargetMode="External" /><Relationship Type="http://schemas.openxmlformats.org/officeDocument/2006/relationships/hyperlink" Id="rId34" Target="risk-register.md" TargetMode="External" /><Relationship Type="http://schemas.openxmlformats.org/officeDocument/2006/relationships/hyperlink" Id="rId48" Target="spikes/2026-09-07-model-selection.md" TargetMode="External" /><Relationship Type="http://schemas.openxmlformats.org/officeDocument/2006/relationships/hyperlink" Id="rId46" Target="spikes/2026-09-08-embedding-selection.md" TargetMode="External" /><Relationship Type="http://schemas.openxmlformats.org/officeDocument/2006/relationships/hyperlink" Id="rId47" Target="spikes/2026-09-09-container-to-host-reachability.md" TargetMode="External" /><Relationship Type="http://schemas.openxmlformats.org/officeDocument/2006/relationships/hyperlink" Id="rId38" Target="srs.md" TargetMode="External" /><Relationship Type="http://schemas.openxmlformats.org/officeDocument/2006/relationships/hyperlink" Id="rId15" Target="srs.md#14-definitions-acronyms-and-abbreviations" TargetMode="External" /><Relationship Type="http://schemas.openxmlformats.org/officeDocument/2006/relationships/hyperlink" Id="rId57" Target="srs.md#4-verification" TargetMode="External" /><Relationship Type="http://schemas.openxmlformats.org/officeDocument/2006/relationships/hyperlink" Id="rId39" Target="test-plan.md" TargetMode="External" /><Relationship Type="http://schemas.openxmlformats.org/officeDocument/2006/relationships/hyperlink" Id="rId32" Target="test-plan.md#55-metrics-to-be-collected" TargetMode="External" /><Relationship Type="http://schemas.openxmlformats.org/officeDocument/2006/relationships/hyperlink" Id="rId63" Target="test-plan.md#9-defect-classification" TargetMode="External" /><Relationship Type="http://schemas.openxmlformats.org/officeDocument/2006/relationships/hyperlink" Id="rId45" Target="threat-model.md" TargetMode="External" /><Relationship Type="http://schemas.openxmlformats.org/officeDocument/2006/relationships/hyperlink" Id="rId40" Target="ui-design.md" TargetMode="External" /><Relationship Type="http://schemas.openxmlformats.org/officeDocument/2006/relationships/hyperlink" Id="rId37" Target="vision-and-scope.md" TargetMode="External" /><Relationship Type="http://schemas.openxmlformats.org/officeDocument/2006/relationships/hyperlink" Id="rId9" Target="vision-and-scope.md#13-business-objectives-and-success-criteria" TargetMode="External" /><Relationship Type="http://schemas.openxmlformats.org/officeDocument/2006/relationships/hyperlink" Id="rId10" Target="vision-and-scope.md#3-scope-and-limita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2026-09-10T11:05:08Z</dcterms:created>
  <dcterms:modified xsi:type="dcterms:W3CDTF">2026-09-10T11:05:08Z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