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 A closed risk keeps the identifier it was tracked under and moves to section 3;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R-Cn</w:t>
      </w:r>
      <w:r>
        <w:t xml:space="preserve"> </w:t>
      </w:r>
      <w:r>
        <w:t xml:space="preserve">identifiers belong to risks that were identified and closed without ever being active.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3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remained unselected, and the dimension is fixed at schema creation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 selected in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Five candidates measured against 71 hand-labelled requirement-to-rule pairs. Schema definition is unblocked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might not fit the 6 GB budget, and was unmeasured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t xml:space="preserve">It does not fit. Both candidates load at 6.6 GB and run 36% to 38% on the CPU, at 40 to 44 s median against 17.3 s for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, with no quality gain. The 4B class is confirmed rather than merely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was unverified, and was recorded as the most probable early impediment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2026-09-09.</w:t>
            </w:r>
            <w:r>
              <w:t xml:space="preserve"> </w:t>
            </w:r>
            <w:r>
              <w:t xml:space="preserve">The impediment does not occur on Docker Desktop: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resolves to its host proxy, which forwards to the host's loopback, so Ollama stays on its default binding and the anticipated</w:t>
            </w:r>
            <w:r>
              <w:t xml:space="preserve"> </w:t>
            </w:r>
            <w:r>
              <w:rPr>
                <w:rStyle w:val="VerbatimChar"/>
              </w:rPr>
              <w:t xml:space="preserve">OLLAMA_HOST=0.0.0.0</w:t>
            </w:r>
            <w:r>
              <w:t xml:space="preserve"> </w:t>
            </w:r>
            <w:r>
              <w:t xml:space="preserve">mitigation is unnecessary. A Linux-native engine has no such proxy and still needs it, which is recorded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NOVA-SPK-003</w:t>
              </w:r>
            </w:hyperlink>
            <w:r>
              <w:t xml:space="preserve"> </w:t>
            </w:r>
            <w:r>
              <w:t xml:space="preserve">finding 3 rather than left as a surprise</w:t>
            </w:r>
          </w:p>
        </w:tc>
      </w:tr>
    </w:tbl>
    <w:bookmarkEnd w:id="13"/>
    <w:bookmarkStart w:id="14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 They are retained</w:t>
      </w:r>
      <w:r>
        <w:t xml:space="preserve"> </w:t>
      </w:r>
      <w:r>
        <w:t xml:space="preserve">here once resolved so that the sequencing remains legible.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  <w:tc>
          <w:tcPr/>
          <w:p>
            <w:pPr>
              <w:pStyle w:val="Compact"/>
            </w:pPr>
            <w:r>
              <w:t xml:space="preserve">Resolved 2026-09-08. Closed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R-04 closed by measurement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closed by measurement as R-C4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closed by measurement on the evidence in NOVA-SPK-003</w:t>
            </w:r>
          </w:p>
        </w:tc>
      </w:tr>
    </w:tbl>
    <w:bookmarkEnd w:id="15"/>
    <w:bookmarkEnd w:id="1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2026-09-10T04:44:59Z</dcterms:created>
  <dcterms:modified xsi:type="dcterms:W3CDTF">2026-09-10T04:44:59Z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