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r>
              <w:t xml:space="preserve">User Interface Design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50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Complete on the exit criteria. The continuous integration workflow has not yet executed on a</w:t>
      </w:r>
      <w:r>
        <w:t xml:space="preserve"> </w:t>
      </w:r>
      <w:r>
        <w:t xml:space="preserve">runner, so it is written but not yet evidenced.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spike: five candidates over twenty requirements,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selected. Embedding spike: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Container-to-host reachability verified. Deployment composition, forward-only migrations, inference gateway with local and fake providers, and continuous integration gating lint, types, migrations and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None. The api, worker and web services and their suites land in M2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9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NOVA-UI-001</w:t>
              </w:r>
            </w:hyperlink>
            <w:r>
              <w:t xml:space="preserve">. Four views and two surfaces, wireframed, with every exception condition in NOVA-SRS-001 Â§3.5.2 mapped to where it surfaces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Seventeen complete, one partial, no gap.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G4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on the default loopback binding;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 </w:t>
            </w:r>
            <w:r>
              <w:t xml:space="preserve">indexes and queries correctly. R-09 closed.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G2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~2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NOVA-SPK-001 v1.1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NOVA-UI-001</w:t>
              </w:r>
            </w:hyperlink>
          </w:p>
        </w:tc>
      </w:tr>
    </w:tbl>
    <w:p>
      <w:pPr>
        <w:pStyle w:val="BodyText"/>
      </w:pPr>
      <w:r>
        <w:t xml:space="preserve">All four are resolved. No entry condition remains open. Criterion 8 stays partial for the duration</w:t>
      </w:r>
      <w:r>
        <w:t xml:space="preserve"> </w:t>
      </w:r>
      <w:r>
        <w:t xml:space="preserve">of the project: CON-2 puts a single reviewer on the architecture, which is recorded as R-17 rather</w:t>
      </w:r>
      <w:r>
        <w:t xml:space="preserve"> </w:t>
      </w:r>
      <w:r>
        <w:t xml:space="preserve">than treated as closeable.</w:t>
      </w:r>
    </w:p>
    <w:bookmarkEnd w:id="49"/>
    <w:bookmarkEnd w:id="50"/>
    <w:bookmarkStart w:id="55" w:name="X40e73d45f562065b06dca0b65a20ad920cb5af5"/>
    <w:p>
      <w:pPr>
        <w:pStyle w:val="Heading2"/>
      </w:pPr>
      <w:r>
        <w:t xml:space="preserve">6. Technical process plans</w:t>
      </w:r>
    </w:p>
    <w:bookmarkStart w:id="51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51"/>
    <w:bookmarkStart w:id="52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52"/>
    <w:bookmarkStart w:id="53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3"/>
    <w:bookmarkStart w:id="54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4"/>
    <w:bookmarkEnd w:id="55"/>
    <w:bookmarkStart w:id="66" w:name="Xdd00325f4e37b519f240e18c1164afedc0f763d"/>
    <w:p>
      <w:pPr>
        <w:pStyle w:val="Heading2"/>
      </w:pPr>
      <w:r>
        <w:t xml:space="preserve">7. Supporting process plans</w:t>
      </w:r>
    </w:p>
    <w:bookmarkStart w:id="56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6"/>
    <w:bookmarkStart w:id="58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7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8"/>
    <w:bookmarkStart w:id="59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 UI Design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9"/>
    <w:bookmarkStart w:id="60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60"/>
    <w:bookmarkStart w:id="61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61"/>
    <w:bookmarkStart w:id="62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62"/>
    <w:bookmarkStart w:id="64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3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4"/>
    <w:bookmarkStart w:id="65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5"/>
    <w:bookmarkEnd w:id="66"/>
    <w:bookmarkStart w:id="67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7"/>
    <w:bookmarkStart w:id="6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G2 resolved by NOVA-SPK-001 v1.1. M1 status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G3 resolved by NOVA-UI-001. Entry criterion 7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G4 resolved by NOVA-SPK-003. R-09 closed. No entry condition remains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 composition added for the datastore. M1 outstanding narrowed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Forward-only migration runner and the baseline migration added. NFR-33 has a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Inference gateway added with local and fake providers. M1 outstanding is continuous integration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Continuous integration added. M1 meets its exit criteria; the workflow itself is unrun</w:t>
            </w:r>
          </w:p>
        </w:tc>
      </w:tr>
    </w:tbl>
    <w:bookmarkEnd w:id="68"/>
    <w:bookmarkEnd w:id="6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dr/" TargetMode="External" /><Relationship Type="http://schemas.openxmlformats.org/officeDocument/2006/relationships/hyperlink" Id="rId44" Target="adr/0005-select-an-embedding-model-and-vector-dimension.md" TargetMode="External" /><Relationship Type="http://schemas.openxmlformats.org/officeDocument/2006/relationships/hyperlink" Id="rId41" Target="architecture.md" TargetMode="External" /><Relationship Type="http://schemas.openxmlformats.org/officeDocument/2006/relationships/hyperlink" Id="rId43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8" Target="spikes/2026-09-07-model-selection.md" TargetMode="External" /><Relationship Type="http://schemas.openxmlformats.org/officeDocument/2006/relationships/hyperlink" Id="rId46" Target="spikes/2026-09-08-embedding-selection.md" TargetMode="External" /><Relationship Type="http://schemas.openxmlformats.org/officeDocument/2006/relationships/hyperlink" Id="rId47" Target="spikes/2026-09-09-container-to-host-reachability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7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3" Target="test-plan.md#9-defect-classification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40" Target="ui-design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2026-09-10T04:44:58Z</dcterms:created>
  <dcterms:modified xsi:type="dcterms:W3CDTF">2026-09-10T04:44:58Z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