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software-test-plan"/>
    <w:p>
      <w:pPr>
        <w:pStyle w:val="Heading1"/>
      </w:pPr>
      <w:r>
        <w:t xml:space="preserve">Software Test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NOVA-STP-001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Conforms to</w:t>
            </w:r>
          </w:p>
        </w:tc>
        <w:tc>
          <w:tcPr/>
          <w:p>
            <w:pPr>
              <w:pStyle w:val="Compact"/>
            </w:pPr>
            <w:r>
              <w:t xml:space="preserve">ISO/IEC/IEEE 29119-3:2021, clause 7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Xe3d0fc0bea9a42ce7605565d0964033d7f6ee47"/>
    <w:p>
      <w:pPr>
        <w:pStyle w:val="Heading2"/>
      </w:pPr>
      <w:r>
        <w:t xml:space="preserve">1. Introduction</w:t>
      </w:r>
    </w:p>
    <w:bookmarkStart w:id="9" w:name="Xd6a42351a060e0c72eb51660fc45537b6ad4c4d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plan covers all verification and validation activity for the initial release of NOVA. It</w:t>
      </w:r>
      <w:r>
        <w:t xml:space="preserve"> </w:t>
      </w:r>
      <w:r>
        <w:t xml:space="preserve">addresses two distinct concerns which are deliberately kept separate: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testing</w:t>
            </w:r>
          </w:p>
        </w:tc>
        <w:tc>
          <w:tcPr/>
          <w:p>
            <w:pPr>
              <w:pStyle w:val="Compact"/>
            </w:pPr>
            <w:r>
              <w:t xml:space="preserve">Does the code behave as specified?</w:t>
            </w:r>
          </w:p>
        </w:tc>
        <w:tc>
          <w:tcPr/>
          <w:p>
            <w:pPr>
              <w:pStyle w:val="Compact"/>
            </w:pPr>
            <w:r>
              <w:t xml:space="preserve">Deterministic, pass or fail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evaluation</w:t>
            </w:r>
          </w:p>
        </w:tc>
        <w:tc>
          <w:tcPr/>
          <w:p>
            <w:pPr>
              <w:pStyle w:val="Compact"/>
            </w:pPr>
            <w:r>
              <w:t xml:space="preserve">Is the generated output of acceptable quality?</w:t>
            </w:r>
          </w:p>
        </w:tc>
        <w:tc>
          <w:tcPr/>
          <w:p>
            <w:pPr>
              <w:pStyle w:val="Compact"/>
            </w:pPr>
            <w:r>
              <w:t xml:space="preserve">Statistical, threshold-based</w:t>
            </w:r>
          </w:p>
        </w:tc>
        <w:tc>
          <w:tcPr/>
          <w:p>
            <w:pPr>
              <w:pStyle w:val="Compact"/>
            </w:pPr>
            <w:r>
              <w:t xml:space="preserve">On configuration change and on demand</w:t>
            </w:r>
          </w:p>
        </w:tc>
      </w:tr>
    </w:tbl>
    <w:p>
      <w:pPr>
        <w:pStyle w:val="BodyText"/>
      </w:pPr>
      <w:r>
        <w:t xml:space="preserve">Conflating the two produces an unstable pipeline and metrics that cannot be acted upon. Separation is</w:t>
      </w:r>
      <w:r>
        <w:t xml:space="preserve"> </w:t>
      </w:r>
      <w:r>
        <w:t xml:space="preserve">what permits the regression gate to be trusted. A gate that fails for reasons the engineer cannot</w:t>
      </w:r>
      <w:r>
        <w:t xml:space="preserve"> </w:t>
      </w:r>
      <w:r>
        <w:t xml:space="preserve">act upon is disabled in practice, and a disabled gate is worse than no gate because it presents as</w:t>
      </w:r>
      <w:r>
        <w:t xml:space="preserve"> </w:t>
      </w:r>
      <w:r>
        <w:t xml:space="preserve">protection.</w:t>
      </w:r>
    </w:p>
    <w:p>
      <w:pPr>
        <w:pStyle w:val="BodyText"/>
      </w:pPr>
      <w:r>
        <w:t xml:space="preserve">Out of scope: performance testing beyond the latency measurements defined in section 5.5; testing of</w:t>
      </w:r>
      <w:r>
        <w:t xml:space="preserve"> </w:t>
      </w:r>
      <w:r>
        <w:t xml:space="preserve">the inference runtime itself; testing of any post-initial-release capability.</w:t>
      </w:r>
    </w:p>
    <w:bookmarkEnd w:id="9"/>
    <w:bookmarkStart w:id="10" w:name="X73ec8a58acca179884be3e5d021328c4166a9a8"/>
    <w:p>
      <w:pPr>
        <w:pStyle w:val="Heading3"/>
      </w:pPr>
      <w:r>
        <w:t xml:space="preserve">1.2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NOVA-SRS-001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NOVA-SAD-001</w:t>
            </w:r>
          </w:p>
        </w:tc>
        <w:tc>
          <w:tcPr/>
          <w:p>
            <w:pPr>
              <w:pStyle w:val="Compact"/>
            </w:pPr>
            <w:r>
              <w:t xml:space="preserve">Software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NOVA-TM-001</w:t>
            </w:r>
          </w:p>
        </w:tc>
        <w:tc>
          <w:tcPr/>
          <w:p>
            <w:pPr>
              <w:pStyle w:val="Compact"/>
            </w:pPr>
            <w:r>
              <w:t xml:space="preserve">Threat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NOVA-RR-001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ISO/IEC/IEEE 29119-3:2021</w:t>
            </w:r>
          </w:p>
        </w:tc>
        <w:tc>
          <w:tcPr/>
          <w:p>
            <w:pPr>
              <w:pStyle w:val="Compact"/>
            </w:pPr>
            <w:r>
              <w:t xml:space="preserve">Software testing, test documentation</w:t>
            </w:r>
          </w:p>
        </w:tc>
      </w:tr>
    </w:tbl>
    <w:bookmarkEnd w:id="10"/>
    <w:bookmarkStart w:id="12" w:name="X3cee9cfe29b73c10b97d342f0cd4fe4bda5549b"/>
    <w:p>
      <w:pPr>
        <w:pStyle w:val="Heading3"/>
      </w:pPr>
      <w:r>
        <w:t xml:space="preserve">1.3 Glossary</w:t>
      </w:r>
    </w:p>
    <w:p>
      <w:pPr>
        <w:pStyle w:val="FirstParagraph"/>
      </w:pPr>
      <w:r>
        <w:t xml:space="preserve">See</w:t>
      </w:r>
      <w:r>
        <w:t xml:space="preserve"> </w:t>
      </w:r>
      <w:hyperlink r:id="rId11">
        <w:r>
          <w:rPr>
            <w:rStyle w:val="Hyperlink"/>
          </w:rPr>
          <w:t xml:space="preserve">NOVA-SRS-001 section 1.4</w:t>
        </w:r>
      </w:hyperlink>
      <w:r>
        <w:t xml:space="preserve">.</w:t>
      </w:r>
    </w:p>
    <w:bookmarkEnd w:id="12"/>
    <w:bookmarkEnd w:id="13"/>
    <w:bookmarkStart w:id="19" w:name="Xd8fdbd6b32d67e9d203f169c23d3e65a268d43d"/>
    <w:p>
      <w:pPr>
        <w:pStyle w:val="Heading2"/>
      </w:pPr>
      <w:r>
        <w:t xml:space="preserve">2. Context of the testing</w:t>
      </w:r>
    </w:p>
    <w:bookmarkStart w:id="14" w:name="X3426be8da4b9eb7e38603470ebadf5ee23fda6c"/>
    <w:p>
      <w:pPr>
        <w:pStyle w:val="Heading3"/>
      </w:pPr>
      <w:r>
        <w:t xml:space="preserve">2.1 Project</w:t>
      </w:r>
    </w:p>
    <w:p>
      <w:pPr>
        <w:pStyle w:val="FirstParagraph"/>
      </w:pPr>
      <w:r>
        <w:t xml:space="preserve">Single-engineer project, approximately 130 to 180 hours, delivered across seven milestones. Testing</w:t>
      </w:r>
      <w:r>
        <w:t xml:space="preserve"> </w:t>
      </w:r>
      <w:r>
        <w:t xml:space="preserve">is not a milestone; it is concurrent with implementation and gated in continuous integration.</w:t>
      </w:r>
    </w:p>
    <w:bookmarkEnd w:id="14"/>
    <w:bookmarkStart w:id="15" w:name="X56bc8f09da9f5eacb8e7f6de53bc14aa0653838"/>
    <w:p>
      <w:pPr>
        <w:pStyle w:val="Heading3"/>
      </w:pPr>
      <w:r>
        <w:t xml:space="preserve">2.2 Test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service</w:t>
            </w:r>
          </w:p>
        </w:tc>
        <w:tc>
          <w:tcPr/>
          <w:p>
            <w:pPr>
              <w:pStyle w:val="Compact"/>
            </w:pPr>
            <w:r>
              <w:t xml:space="preserve">Per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and agent orchestration</w:t>
            </w:r>
          </w:p>
        </w:tc>
        <w:tc>
          <w:tcPr/>
          <w:p>
            <w:pPr>
              <w:pStyle w:val="Compact"/>
            </w:pPr>
            <w:r>
              <w:t xml:space="preserve">Per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subsystem: extraction, validation, storage, retrieval, lifecycle</w:t>
            </w:r>
          </w:p>
        </w:tc>
        <w:tc>
          <w:tcPr/>
          <w:p>
            <w:pPr>
              <w:pStyle w:val="Compact"/>
            </w:pPr>
            <w:r>
              <w:t xml:space="preserve">Per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selection</w:t>
            </w:r>
          </w:p>
        </w:tc>
        <w:tc>
          <w:tcPr/>
          <w:p>
            <w:pPr>
              <w:pStyle w:val="Compact"/>
            </w:pPr>
            <w:r>
              <w:t xml:space="preserve">Per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t xml:space="preserve">Per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and migrations</w:t>
            </w:r>
          </w:p>
        </w:tc>
        <w:tc>
          <w:tcPr/>
          <w:p>
            <w:pPr>
              <w:pStyle w:val="Compact"/>
            </w:pPr>
            <w:r>
              <w:t xml:space="preserve">Per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and configuration versions</w:t>
            </w:r>
          </w:p>
        </w:tc>
        <w:tc>
          <w:tcPr/>
          <w:p>
            <w:pPr>
              <w:pStyle w:val="Compact"/>
            </w:pPr>
            <w:r>
              <w:t xml:space="preserve">On change, via the evaluation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composition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</w:tbl>
    <w:bookmarkEnd w:id="15"/>
    <w:bookmarkStart w:id="16" w:name="X6bdbdbecdfc6369eb976707fca7b500ccda2966"/>
    <w:p>
      <w:pPr>
        <w:pStyle w:val="Heading3"/>
      </w:pPr>
      <w:r>
        <w:t xml:space="preserve">2.3 Test scope</w:t>
      </w:r>
    </w:p>
    <w:p>
      <w:pPr>
        <w:pStyle w:val="FirstParagraph"/>
      </w:pPr>
      <w:r>
        <w:rPr>
          <w:b/>
          <w:bCs/>
        </w:rPr>
        <w:t xml:space="preserve">Included.</w:t>
      </w:r>
      <w:r>
        <w:t xml:space="preserve"> </w:t>
      </w:r>
      <w:r>
        <w:t xml:space="preserve">All requirements of priority Must in NOVA-SRS-001. All quality scenarios QS-1 to QS-9</w:t>
      </w:r>
      <w:r>
        <w:t xml:space="preserve"> </w:t>
      </w:r>
      <w:r>
        <w:t xml:space="preserve">in NOVA-SAD-001. All threats T1 to T10 in NOVA-TM-001.</w:t>
      </w:r>
    </w:p>
    <w:p>
      <w:pPr>
        <w:pStyle w:val="BodyText"/>
      </w:pPr>
      <w:r>
        <w:rPr>
          <w:b/>
          <w:bCs/>
        </w:rPr>
        <w:t xml:space="preserve">Excluded, with rationale.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and stress testing</w:t>
            </w:r>
          </w:p>
        </w:tc>
        <w:tc>
          <w:tcPr/>
          <w:p>
            <w:pPr>
              <w:pStyle w:val="Compact"/>
            </w:pPr>
            <w:r>
              <w:t xml:space="preserve">Single user, single concurrent task. No meaningful load profile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 across browsers</w:t>
            </w:r>
          </w:p>
        </w:tc>
        <w:tc>
          <w:tcPr/>
          <w:p>
            <w:pPr>
              <w:pStyle w:val="Compact"/>
            </w:pPr>
            <w:r>
              <w:t xml:space="preserve">One user, one browser. Stated as a limitation rather than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Localization testing</w:t>
            </w:r>
          </w:p>
        </w:tc>
        <w:tc>
          <w:tcPr/>
          <w:p>
            <w:pPr>
              <w:pStyle w:val="Compact"/>
            </w:pPr>
            <w:r>
              <w:t xml:space="preserve">Single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conformance audit</w:t>
            </w:r>
          </w:p>
        </w:tc>
        <w:tc>
          <w:tcPr/>
          <w:p>
            <w:pPr>
              <w:pStyle w:val="Compact"/>
            </w:pPr>
            <w:r>
              <w:t xml:space="preserve">Not claimed. Basic semantic markup and screen-reader-associated form errors are required by NFR, but no conformance level is asserted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runtime internals</w:t>
            </w:r>
          </w:p>
        </w:tc>
        <w:tc>
          <w:tcPr/>
          <w:p>
            <w:pPr>
              <w:pStyle w:val="Compact"/>
            </w:pPr>
            <w:r>
              <w:t xml:space="preserve">Third-party dependency, addressed through contract tests at its boundary</w:t>
            </w:r>
          </w:p>
        </w:tc>
      </w:tr>
    </w:tbl>
    <w:bookmarkEnd w:id="16"/>
    <w:bookmarkStart w:id="17" w:name="X98fda37d101ed1c7262af8aed1e34f0be6d29eb"/>
    <w:p>
      <w:pPr>
        <w:pStyle w:val="Heading3"/>
      </w:pPr>
      <w:r>
        <w:t xml:space="preserve">2.4 Assumptions and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Assumption or constraint</w:t>
            </w:r>
          </w:p>
        </w:tc>
        <w:tc>
          <w:tcPr/>
          <w:p>
            <w:pPr>
              <w:pStyle w:val="Compact"/>
            </w:pPr>
            <w:r>
              <w:t xml:space="preserve">Effect 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TA-1</w:t>
            </w:r>
          </w:p>
        </w:tc>
        <w:tc>
          <w:tcPr/>
          <w:p>
            <w:pPr>
              <w:pStyle w:val="Compact"/>
            </w:pPr>
            <w:r>
              <w:t xml:space="preserve">A fixed random seed renders local inference sufficiently reproducible</w:t>
            </w:r>
          </w:p>
        </w:tc>
        <w:tc>
          <w:tcPr/>
          <w:p>
            <w:pPr>
              <w:pStyle w:val="Compact"/>
            </w:pPr>
            <w:r>
              <w:t xml:space="preserve">If false, run-over-run comparison and the regression gate both become unreliable. Verified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TA-2</w:t>
            </w:r>
          </w:p>
        </w:tc>
        <w:tc>
          <w:tcPr/>
          <w:p>
            <w:pPr>
              <w:pStyle w:val="Compact"/>
            </w:pPr>
            <w:r>
              <w:t xml:space="preserve">Approximately 50 evaluation cases yield sufficient signal for gating</w:t>
            </w:r>
          </w:p>
        </w:tc>
        <w:tc>
          <w:tcPr/>
          <w:p>
            <w:pPr>
              <w:pStyle w:val="Compact"/>
            </w:pPr>
            <w:r>
              <w:t xml:space="preserve">If false, the dataset is enlarged. Thresholds are not loosened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TA-3</w:t>
            </w:r>
          </w:p>
        </w:tc>
        <w:tc>
          <w:tcPr/>
          <w:p>
            <w:pPr>
              <w:pStyle w:val="Compact"/>
            </w:pPr>
            <w:r>
              <w:t xml:space="preserve">Deterministic checks capture sufficient quality signal</w:t>
            </w:r>
          </w:p>
        </w:tc>
        <w:tc>
          <w:tcPr/>
          <w:p>
            <w:pPr>
              <w:pStyle w:val="Compact"/>
            </w:pPr>
            <w:r>
              <w:t xml:space="preserve">If false, the share of model-based review increases and the reliability caveat is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</w:t>
            </w:r>
          </w:p>
        </w:tc>
        <w:tc>
          <w:tcPr/>
          <w:p>
            <w:pPr>
              <w:pStyle w:val="Compact"/>
            </w:pPr>
            <w:r>
              <w:t xml:space="preserve">No external reviewer is available</w:t>
            </w:r>
          </w:p>
        </w:tc>
        <w:tc>
          <w:tcPr/>
          <w:p>
            <w:pPr>
              <w:pStyle w:val="Compact"/>
            </w:pPr>
            <w:r>
              <w:t xml:space="preserve">Automated gates substitute for peer review where they can. The limitation is recorded, not concealed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</w:t>
            </w:r>
          </w:p>
        </w:tc>
        <w:tc>
          <w:tcPr/>
          <w:p>
            <w:pPr>
              <w:pStyle w:val="Compact"/>
            </w:pPr>
            <w:r>
              <w:t xml:space="preserve">Evaluation suite duration must remain within the continuous integration budget</w:t>
            </w:r>
          </w:p>
        </w:tc>
        <w:tc>
          <w:tcPr/>
          <w:p>
            <w:pPr>
              <w:pStyle w:val="Compact"/>
            </w:pPr>
            <w:r>
              <w:t xml:space="preserve">Constrains dataset size and the frequency of the expensive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</w:t>
            </w:r>
          </w:p>
        </w:tc>
        <w:tc>
          <w:tcPr/>
          <w:p>
            <w:pPr>
              <w:pStyle w:val="Compact"/>
            </w:pPr>
            <w:r>
              <w:t xml:space="preserve">Evaluation data is synthetic and open-source only</w:t>
            </w:r>
          </w:p>
        </w:tc>
        <w:tc>
          <w:tcPr/>
          <w:p>
            <w:pPr>
              <w:pStyle w:val="Compact"/>
            </w:pPr>
            <w:r>
              <w:t xml:space="preserve">The dataset is committable and reviewable</w:t>
            </w:r>
          </w:p>
        </w:tc>
      </w:tr>
    </w:tbl>
    <w:bookmarkEnd w:id="17"/>
    <w:bookmarkStart w:id="18" w:name="X5236026d80f64af3a5df48c22a07caddb3457de"/>
    <w:p>
      <w:pPr>
        <w:pStyle w:val="Heading3"/>
      </w:pPr>
      <w:r>
        <w:t xml:space="preserve">2.5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Interest in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Implementing engineer</w:t>
            </w:r>
          </w:p>
        </w:tc>
        <w:tc>
          <w:tcPr/>
          <w:p>
            <w:pPr>
              <w:pStyle w:val="Compact"/>
            </w:pPr>
            <w:r>
              <w:t xml:space="preserve">Defect detection, regression prevention, confidence to refactor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reviewer</w:t>
            </w:r>
          </w:p>
        </w:tc>
        <w:tc>
          <w:tcPr/>
          <w:p>
            <w:pPr>
              <w:pStyle w:val="Compact"/>
            </w:pPr>
            <w:r>
              <w:t xml:space="preserve">Evidence that quality control is enforced rather than asserted</w:t>
            </w:r>
          </w:p>
        </w:tc>
      </w:tr>
    </w:tbl>
    <w:bookmarkEnd w:id="18"/>
    <w:bookmarkEnd w:id="19"/>
    <w:bookmarkStart w:id="20" w:name="X9cf465e3ba02de5172510852d2bfb5aa6873734"/>
    <w:p>
      <w:pPr>
        <w:pStyle w:val="Heading2"/>
      </w:pPr>
      <w:r>
        <w:t xml:space="preserve">3. Testing communication</w:t>
      </w:r>
    </w:p>
    <w:p>
      <w:pPr>
        <w:pStyle w:val="FirstParagraph"/>
      </w:pPr>
      <w:r>
        <w:t xml:space="preserve">Single-engineer project. Defects are recorded as repository issues with a severity classification.</w:t>
      </w:r>
      <w:r>
        <w:t xml:space="preserve"> </w:t>
      </w:r>
      <w:r>
        <w:t xml:space="preserve">Continuous integration results are the primary communication channel. Evaluation run results are</w:t>
      </w:r>
      <w:r>
        <w:t xml:space="preserve"> </w:t>
      </w:r>
      <w:r>
        <w:t xml:space="preserve">persisted and trended over time.</w:t>
      </w:r>
    </w:p>
    <w:p>
      <w:pPr>
        <w:pStyle w:val="BodyText"/>
      </w:pPr>
      <w:r>
        <w:t xml:space="preserve">The manual exploratory session findings in section 6.2 are recorded as issues rather than corrected</w:t>
      </w:r>
      <w:r>
        <w:t xml:space="preserve"> </w:t>
      </w:r>
      <w:r>
        <w:t xml:space="preserve">silently, so that the record of systematic testing is itself an artifact.</w:t>
      </w:r>
    </w:p>
    <w:bookmarkEnd w:id="20"/>
    <w:bookmarkStart w:id="23" w:name="X50f467c472f09930582c8cb533642f8b5f74bdd"/>
    <w:p>
      <w:pPr>
        <w:pStyle w:val="Heading2"/>
      </w:pPr>
      <w:r>
        <w:t xml:space="preserve">4. Risk register</w:t>
      </w:r>
    </w:p>
    <w:bookmarkStart w:id="21" w:name="X152523a6da6856b9729c550b5f7fdfba0b7da2a"/>
    <w:p>
      <w:pPr>
        <w:pStyle w:val="Heading3"/>
      </w:pPr>
      <w:r>
        <w:t xml:space="preserve">4.1 Product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Mitigating test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PR-1</w:t>
            </w:r>
          </w:p>
        </w:tc>
        <w:tc>
          <w:tcPr/>
          <w:p>
            <w:pPr>
              <w:pStyle w:val="Compact"/>
            </w:pPr>
            <w:r>
              <w:t xml:space="preserve">Cross-tenant data disclosure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Isolation suite as an unconditional gate from the first milestone in which memory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PR-2</w:t>
            </w:r>
          </w:p>
        </w:tc>
        <w:tc>
          <w:tcPr/>
          <w:p>
            <w:pPr>
              <w:pStyle w:val="Compact"/>
            </w:pPr>
            <w:r>
              <w:t xml:space="preserve">An injected instruction persists into stored memory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Adversarial scenarios targeting the extraction and confirmation path specifically, not only the generation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PR-3</w:t>
            </w:r>
          </w:p>
        </w:tc>
        <w:tc>
          <w:tcPr/>
          <w:p>
            <w:pPr>
              <w:pStyle w:val="Compact"/>
            </w:pPr>
            <w:r>
              <w:t xml:space="preserve">Adversarial feedback alters strategy selection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Poisoning scenarios asserting score clamping and that no single event alters a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PR-4</w:t>
            </w:r>
          </w:p>
        </w:tc>
        <w:tc>
          <w:tcPr/>
          <w:p>
            <w:pPr>
              <w:pStyle w:val="Compact"/>
            </w:pPr>
            <w:r>
              <w:t xml:space="preserve">A memory deletion does not take effect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Deletion completeness test asserting both non-retrievability and absence from subsequent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PR-5</w:t>
            </w:r>
          </w:p>
        </w:tc>
        <w:tc>
          <w:tcPr/>
          <w:p>
            <w:pPr>
              <w:pStyle w:val="Compact"/>
            </w:pPr>
            <w:r>
              <w:t xml:space="preserve">A configuration change degrades output without detection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Regression gate demonstrated against a deliberately degraded prompt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PR-6</w:t>
            </w:r>
          </w:p>
        </w:tc>
        <w:tc>
          <w:tcPr/>
          <w:p>
            <w:pPr>
              <w:pStyle w:val="Compact"/>
            </w:pPr>
            <w:r>
              <w:t xml:space="preserve">Retrieval silently returns nothing and the system appears healthy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 failure required on embedding unavailability. Asserted by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PR-7</w:t>
            </w:r>
          </w:p>
        </w:tc>
        <w:tc>
          <w:tcPr/>
          <w:p>
            <w:pPr>
              <w:pStyle w:val="Compact"/>
            </w:pPr>
            <w:r>
              <w:t xml:space="preserve">A failed task leaves no diagnostic record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Trace completeness test executed against a deliberately failed task</w:t>
            </w:r>
          </w:p>
        </w:tc>
      </w:tr>
    </w:tbl>
    <w:bookmarkEnd w:id="21"/>
    <w:bookmarkStart w:id="22" w:name="Xaae305def7077adcf2a19f7dd6efa3579a68e33"/>
    <w:p>
      <w:pPr>
        <w:pStyle w:val="Heading3"/>
      </w:pPr>
      <w:r>
        <w:t xml:space="preserve">4.2 Project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Mitigating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PJ-1</w:t>
            </w:r>
          </w:p>
        </w:tc>
        <w:tc>
          <w:tcPr/>
          <w:p>
            <w:pPr>
              <w:pStyle w:val="Compact"/>
            </w:pPr>
            <w:r>
              <w:t xml:space="preserve">Evaluation dataset construction is underestimated</w:t>
            </w:r>
          </w:p>
        </w:tc>
        <w:tc>
          <w:tcPr/>
          <w:p>
            <w:pPr>
              <w:pStyle w:val="Compact"/>
            </w:pPr>
            <w:r>
              <w:t xml:space="preserve">Authoring begins two milestones before the dataset is required. Twenty cases already exist from the model selection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PJ-2</w:t>
            </w:r>
          </w:p>
        </w:tc>
        <w:tc>
          <w:tcPr/>
          <w:p>
            <w:pPr>
              <w:pStyle w:val="Compact"/>
            </w:pPr>
            <w:r>
              <w:t xml:space="preserve">Inference nondeterminism destabilizes the gate</w:t>
            </w:r>
          </w:p>
        </w:tc>
        <w:tc>
          <w:tcPr/>
          <w:p>
            <w:pPr>
              <w:pStyle w:val="Compact"/>
            </w:pPr>
            <w:r>
              <w:t xml:space="preserve">Run-over-run variance measured before any threshold is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PJ-3</w:t>
            </w:r>
          </w:p>
        </w:tc>
        <w:tc>
          <w:tcPr/>
          <w:p>
            <w:pPr>
              <w:pStyle w:val="Compact"/>
            </w:pPr>
            <w:r>
              <w:t xml:space="preserve">Test effort is displaced by feature work under schedule pressure</w:t>
            </w:r>
          </w:p>
        </w:tc>
        <w:tc>
          <w:tcPr/>
          <w:p>
            <w:pPr>
              <w:pStyle w:val="Compact"/>
            </w:pPr>
            <w:r>
              <w:t xml:space="preserve">Isolation tests and the regression gate are excluded from the pre-committed scope reduction order</w:t>
            </w:r>
          </w:p>
        </w:tc>
      </w:tr>
    </w:tbl>
    <w:bookmarkEnd w:id="22"/>
    <w:bookmarkEnd w:id="23"/>
    <w:bookmarkStart w:id="40" w:name="Xecc8de4a136687d79a6a166429700448ffc765e"/>
    <w:p>
      <w:pPr>
        <w:pStyle w:val="Heading2"/>
      </w:pPr>
      <w:r>
        <w:t xml:space="preserve">5. Test strategy</w:t>
      </w:r>
    </w:p>
    <w:bookmarkStart w:id="27" w:name="Xb9eca886a0fa3a8d603f1f579030552f6b10cc2"/>
    <w:p>
      <w:pPr>
        <w:pStyle w:val="Heading3"/>
      </w:pPr>
      <w:r>
        <w:t xml:space="preserve">5.1 Sub-processes</w:t>
      </w:r>
    </w:p>
    <w:p>
      <w:pPr>
        <w:pStyle w:val="FirstParagraph"/>
      </w:pPr>
      <w:r>
        <w:drawing>
          <wp:inline>
            <wp:extent cx="5943600" cy="525389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Users/laxmi/AppData/Local/Temp/nova-docs-469f4695/test-plan-1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Sub-process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Verify logic in isolation</w:t>
            </w:r>
          </w:p>
        </w:tc>
        <w:tc>
          <w:tcPr/>
          <w:p>
            <w:pPr>
              <w:pStyle w:val="Compact"/>
            </w:pPr>
            <w:r>
              <w:t xml:space="preserve">Component implemented</w:t>
            </w:r>
          </w:p>
        </w:tc>
        <w:tc>
          <w:tcPr/>
          <w:p>
            <w:pPr>
              <w:pStyle w:val="Compact"/>
            </w:pPr>
            <w:r>
              <w:t xml:space="preserve">All pass. Statement coverage at least 80% on memory, retrieval, scoring, and validation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Verify component interaction and persistence</w:t>
            </w:r>
          </w:p>
        </w:tc>
        <w:tc>
          <w:tcPr/>
          <w:p>
            <w:pPr>
              <w:pStyle w:val="Compact"/>
            </w:pPr>
            <w:r>
              <w:t xml:space="preserve">Unit tests passing, schema migrated</w:t>
            </w:r>
          </w:p>
        </w:tc>
        <w:tc>
          <w:tcPr/>
          <w:p>
            <w:pPr>
              <w:pStyle w:val="Compact"/>
            </w:pPr>
            <w:r>
              <w:t xml:space="preserve">All pass against a real datastore and a fake inference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Verify the primary user journey through the interface</w:t>
            </w:r>
          </w:p>
        </w:tc>
        <w:tc>
          <w:tcPr/>
          <w:p>
            <w:pPr>
              <w:pStyle w:val="Compact"/>
            </w:pPr>
            <w:r>
              <w:t xml:space="preserve">Integration passing</w:t>
            </w:r>
          </w:p>
        </w:tc>
        <w:tc>
          <w:tcPr/>
          <w:p>
            <w:pPr>
              <w:pStyle w:val="Compact"/>
            </w:pPr>
            <w:r>
              <w:t xml:space="preserve">The golden path completes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Verify security properties</w:t>
            </w:r>
          </w:p>
        </w:tc>
        <w:tc>
          <w:tcPr/>
          <w:p>
            <w:pPr>
              <w:pStyle w:val="Compact"/>
            </w:pPr>
            <w:r>
              <w:t xml:space="preserve">Memory subsystem present</w:t>
            </w:r>
          </w:p>
        </w:tc>
        <w:tc>
          <w:tcPr/>
          <w:p>
            <w:pPr>
              <w:pStyle w:val="Compact"/>
            </w:pPr>
            <w:r>
              <w:t xml:space="preserve">Zero failures. No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Quantify output quality and detect regression</w:t>
            </w:r>
          </w:p>
        </w:tc>
        <w:tc>
          <w:tcPr/>
          <w:p>
            <w:pPr>
              <w:pStyle w:val="Compact"/>
            </w:pPr>
            <w:r>
              <w:t xml:space="preserve">Dataset versioned, baseline established</w:t>
            </w:r>
          </w:p>
        </w:tc>
        <w:tc>
          <w:tcPr/>
          <w:p>
            <w:pPr>
              <w:pStyle w:val="Compact"/>
            </w:pPr>
            <w:r>
              <w:t xml:space="preserve">No gate metric below its threshold</w:t>
            </w:r>
          </w:p>
        </w:tc>
      </w:tr>
    </w:tbl>
    <w:bookmarkEnd w:id="27"/>
    <w:bookmarkStart w:id="28" w:name="X48e7f527c94062a04daed6e70d7dc197637819b"/>
    <w:p>
      <w:pPr>
        <w:pStyle w:val="Heading3"/>
      </w:pPr>
      <w:r>
        <w:t xml:space="preserve">5.2 Test design techniques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Applied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Equivalence partitioning and boundary value analysis</w:t>
            </w:r>
          </w:p>
        </w:tc>
        <w:tc>
          <w:tcPr/>
          <w:p>
            <w:pPr>
              <w:pStyle w:val="Compact"/>
            </w:pPr>
            <w:r>
              <w:t xml:space="preserve">Requirement length limits, score clamping bounds, exploration rate bounds, confidence floors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 testing</w:t>
            </w:r>
          </w:p>
        </w:tc>
        <w:tc>
          <w:tcPr/>
          <w:p>
            <w:pPr>
              <w:pStyle w:val="Compact"/>
            </w:pPr>
            <w:r>
              <w:t xml:space="preserve">Task state machine, memory lifecycle, configuration version states, job lease and reclamation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table testing</w:t>
            </w:r>
          </w:p>
        </w:tc>
        <w:tc>
          <w:tcPr/>
          <w:p>
            <w:pPr>
              <w:pStyle w:val="Compact"/>
            </w:pPr>
            <w:r>
              <w:t xml:space="preserve">Feedback normalization across event types; retrieval inclusion given scope, tenant, pin, and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guessing and exploratory testing</w:t>
            </w:r>
          </w:p>
        </w:tc>
        <w:tc>
          <w:tcPr/>
          <w:p>
            <w:pPr>
              <w:pStyle w:val="Compact"/>
            </w:pPr>
            <w:r>
              <w:t xml:space="preserve">Manual charter sessions, section 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injection</w:t>
            </w:r>
          </w:p>
        </w:tc>
        <w:tc>
          <w:tcPr/>
          <w:p>
            <w:pPr>
              <w:pStyle w:val="Compact"/>
            </w:pPr>
            <w:r>
              <w:t xml:space="preserve">Worker termination mid-task, inference provider unavailability, datastore unavailability, poison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Injection, privilege and isolation, feedback poisoning, output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testing</w:t>
            </w:r>
          </w:p>
        </w:tc>
        <w:tc>
          <w:tcPr/>
          <w:p>
            <w:pPr>
              <w:pStyle w:val="Compact"/>
            </w:pPr>
            <w:r>
              <w:t xml:space="preserve">Interface description drift; both inference provider implementations against a shared suite</w:t>
            </w:r>
          </w:p>
        </w:tc>
      </w:tr>
    </w:tbl>
    <w:p>
      <w:pPr>
        <w:pStyle w:val="BodyText"/>
      </w:pPr>
      <w:r>
        <w:t xml:space="preserve">Unit testing is where coverage is measured, because it is where the logic resides. The scoring</w:t>
      </w:r>
      <w:r>
        <w:t xml:space="preserve"> </w:t>
      </w:r>
      <w:r>
        <w:t xml:space="preserve">functions written for the model selection spike already carry an assertion-based self-test,</w:t>
      </w:r>
      <w:r>
        <w:t xml:space="preserve"> </w:t>
      </w:r>
      <w:r>
        <w:t xml:space="preserve">established before those functions were trusted with real output.</w:t>
      </w:r>
    </w:p>
    <w:p>
      <w:pPr>
        <w:pStyle w:val="BodyText"/>
      </w:pPr>
      <w:r>
        <w:t xml:space="preserve">Integration testing uses a fake inference provider deliberately. These tests exist to verify wiring</w:t>
      </w:r>
      <w:r>
        <w:t xml:space="preserve"> </w:t>
      </w:r>
      <w:r>
        <w:t xml:space="preserve">and must therefore be fast and deterministic. Model behaviour belongs to the evaluation</w:t>
      </w:r>
      <w:r>
        <w:t xml:space="preserve"> </w:t>
      </w:r>
      <w:r>
        <w:t xml:space="preserve">sub-process. Combining the two yields a slow suite failing for reasons that cannot be acted upon.</w:t>
      </w:r>
    </w:p>
    <w:p>
      <w:pPr>
        <w:pStyle w:val="BodyText"/>
      </w:pPr>
      <w:r>
        <w:t xml:space="preserve">End-to-end testing is confined to a single path. Such tests are expensive to maintain and the</w:t>
      </w:r>
      <w:r>
        <w:t xml:space="preserve"> </w:t>
      </w:r>
      <w:r>
        <w:t xml:space="preserve">product is a single-user local application.</w:t>
      </w:r>
    </w:p>
    <w:bookmarkEnd w:id="28"/>
    <w:bookmarkStart w:id="29" w:name="Xfd0b5a5ec9c0c24ae90831e92ab0905c9fb3f9f"/>
    <w:p>
      <w:pPr>
        <w:pStyle w:val="Heading3"/>
      </w:pPr>
      <w:r>
        <w:t xml:space="preserve">5.3 Test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 suites</w:t>
            </w:r>
          </w:p>
        </w:tc>
        <w:tc>
          <w:tcPr/>
          <w:p>
            <w:pPr>
              <w:pStyle w:val="Compact"/>
            </w:pPr>
            <w:r>
              <w:t xml:space="preserve">Source, in the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dataset</w:t>
            </w:r>
          </w:p>
        </w:tc>
        <w:tc>
          <w:tcPr/>
          <w:p>
            <w:pPr>
              <w:pStyle w:val="Compact"/>
            </w:pPr>
            <w:r>
              <w:t xml:space="preserve">Versioned by content hash, in the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scenario definitions</w:t>
            </w:r>
          </w:p>
        </w:tc>
        <w:tc>
          <w:tcPr/>
          <w:p>
            <w:pPr>
              <w:pStyle w:val="Compact"/>
            </w:pPr>
            <w:r>
              <w:t xml:space="preserve">Declarative configuration, in the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run records</w:t>
            </w:r>
          </w:p>
        </w:tc>
        <w:tc>
          <w:tcPr/>
          <w:p>
            <w:pPr>
              <w:pStyle w:val="Compact"/>
            </w:pPr>
            <w:r>
              <w:t xml:space="preserve">Persisted rows with per-metric aggregates and a gate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records</w:t>
            </w:r>
          </w:p>
        </w:tc>
        <w:tc>
          <w:tcPr/>
          <w:p>
            <w:pPr>
              <w:pStyle w:val="Compact"/>
            </w:pPr>
            <w:r>
              <w:t xml:space="preserve">Repository issues with 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 session notes</w:t>
            </w:r>
          </w:p>
        </w:tc>
        <w:tc>
          <w:tcPr/>
          <w:p>
            <w:pPr>
              <w:pStyle w:val="Compact"/>
            </w:pPr>
            <w:r>
              <w:t xml:space="preserve">Repository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plan</w:t>
            </w:r>
          </w:p>
        </w:tc>
        <w:tc>
          <w:tcPr/>
          <w:p>
            <w:pPr>
              <w:pStyle w:val="Compact"/>
            </w:pPr>
            <w:r>
              <w:t xml:space="preserve">NOVA-STP-001</w:t>
            </w:r>
          </w:p>
        </w:tc>
      </w:tr>
    </w:tbl>
    <w:bookmarkEnd w:id="29"/>
    <w:bookmarkStart w:id="30" w:name="Xaf20743c40baefdf21824113645c0245fc4e964"/>
    <w:p>
      <w:pPr>
        <w:pStyle w:val="Heading3"/>
      </w:pPr>
      <w:r>
        <w:t xml:space="preserve">5.4 Test data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Approximately 50 cases, stratified across the four requirement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Approximately 30 hand-authored, approximately 20 derived from open-source issue trackers and public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per case</w:t>
            </w:r>
          </w:p>
        </w:tc>
        <w:tc>
          <w:tcPr/>
          <w:p>
            <w:pPr>
              <w:pStyle w:val="Compact"/>
            </w:pPr>
            <w:r>
              <w:t xml:space="preserve">Requirement text, requirement type, expected properties (required case types, enumerated acceptance criteria, must-not-contain assertions), and labelled relevant memories for retrieval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Held-out portion</w:t>
            </w:r>
          </w:p>
        </w:tc>
        <w:tc>
          <w:tcPr/>
          <w:p>
            <w:pPr>
              <w:pStyle w:val="Compact"/>
            </w:pPr>
            <w:r>
              <w:t xml:space="preserve">A reserved subset never used for prompt tuning, so that the evaluation set does not become a tuning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Content hash. Any edit produces a new version. Comparison across versions is refused by the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Synthetic and open-source only. Committable and reviewable</w:t>
            </w:r>
          </w:p>
        </w:tc>
      </w:tr>
    </w:tbl>
    <w:p>
      <w:pPr>
        <w:pStyle w:val="BodyText"/>
      </w:pPr>
      <w:r>
        <w:t xml:space="preserve">Twenty cases already exist, produced for the model selection spike, five per requirement type, each</w:t>
      </w:r>
      <w:r>
        <w:t xml:space="preserve"> </w:t>
      </w:r>
      <w:r>
        <w:t xml:space="preserve">with four machine-checkable acceptance criteria. They transfer directly and remove approximately one</w:t>
      </w:r>
      <w:r>
        <w:t xml:space="preserve"> </w:t>
      </w:r>
      <w:r>
        <w:t xml:space="preserve">third of the authoring effort.</w:t>
      </w:r>
    </w:p>
    <w:p>
      <w:pPr>
        <w:pStyle w:val="BodyText"/>
      </w:pPr>
      <w:r>
        <w:t xml:space="preserve">The hand-authored majority is deliberate. Derived cases contribute realism, but only hand-authored</w:t>
      </w:r>
      <w:r>
        <w:t xml:space="preserve"> </w:t>
      </w:r>
      <w:r>
        <w:t xml:space="preserve">cases permit expected properties to be stated precisely enough for deterministic scoring. Where a</w:t>
      </w:r>
      <w:r>
        <w:t xml:space="preserve"> </w:t>
      </w:r>
      <w:r>
        <w:t xml:space="preserve">metric must carry meaning, precision is worth more than realism.</w:t>
      </w:r>
    </w:p>
    <w:bookmarkEnd w:id="30"/>
    <w:bookmarkStart w:id="31" w:name="X4a7cf6a1c7053f87fa99a743fab49886910a5f2"/>
    <w:p>
      <w:pPr>
        <w:pStyle w:val="Heading3"/>
      </w:pPr>
      <w:r>
        <w:t xml:space="preserve">5.5 Metrics to be collected</w:t>
      </w:r>
    </w:p>
    <w:p>
      <w:pPr>
        <w:pStyle w:val="FirstParagraph"/>
      </w:pPr>
      <w:r>
        <w:t xml:space="preserve">Each metric carries a definition, a collection method, a threshold, and a stated limitation. No</w:t>
      </w:r>
      <w:r>
        <w:t xml:space="preserve"> </w:t>
      </w:r>
      <w:r>
        <w:t xml:space="preserve">measured value exists for most. Every threshold below is provisional.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Task success rate</w:t>
            </w:r>
          </w:p>
        </w:tc>
        <w:tc>
          <w:tcPr/>
          <w:p>
            <w:pPr>
              <w:pStyle w:val="Compact"/>
            </w:pPr>
            <w:r>
              <w:t xml:space="preserve">completed Ã· (total âˆ’ user cancelled)</w:t>
            </w:r>
          </w:p>
        </w:tc>
        <w:tc>
          <w:tcPr/>
          <w:p>
            <w:pPr>
              <w:pStyle w:val="Compact"/>
            </w:pPr>
            <w:r>
              <w:t xml:space="preserve">â‰¥95%</w:t>
            </w:r>
          </w:p>
        </w:tc>
        <w:tc>
          <w:tcPr/>
          <w:p>
            <w:pPr>
              <w:pStyle w:val="Compact"/>
            </w:pPr>
            <w:r>
              <w:t xml:space="preserve">Carries no quality information. A completed poor plan counts as success. Not to be quoted as a quality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Structured output validity</w:t>
            </w:r>
          </w:p>
        </w:tc>
        <w:tc>
          <w:tcPr/>
          <w:p>
            <w:pPr>
              <w:pStyle w:val="Compact"/>
            </w:pPr>
            <w:r>
              <w:t xml:space="preserve">valid on first attempt Ã· total generations. Also reported after repair</w:t>
            </w:r>
          </w:p>
        </w:tc>
        <w:tc>
          <w:tcPr/>
          <w:p>
            <w:pPr>
              <w:pStyle w:val="Compact"/>
            </w:pPr>
            <w:r>
              <w:t xml:space="preserve">â‰¥98% first attempt</w:t>
            </w:r>
          </w:p>
        </w:tc>
        <w:tc>
          <w:tcPr/>
          <w:p>
            <w:pPr>
              <w:pStyle w:val="Compact"/>
            </w:pPr>
            <w:r>
              <w:t xml:space="preserve">Measures structure only. Observed 12 of 12 over a 12-generation sample, which is far too small to establish a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Acceptance criteria coverage</w:t>
            </w:r>
          </w:p>
        </w:tc>
        <w:tc>
          <w:tcPr/>
          <w:p>
            <w:pPr>
              <w:pStyle w:val="Compact"/>
            </w:pPr>
            <w:r>
              <w:t xml:space="preserve">criteria with at least one linked case Ã· total criteria</w:t>
            </w:r>
          </w:p>
        </w:tc>
        <w:tc>
          <w:tcPr/>
          <w:p>
            <w:pPr>
              <w:pStyle w:val="Compact"/>
            </w:pPr>
            <w:r>
              <w:t xml:space="preserve">â‰¥90%</w:t>
            </w:r>
          </w:p>
        </w:tc>
        <w:tc>
          <w:tcPr/>
          <w:p>
            <w:pPr>
              <w:pStyle w:val="Compact"/>
            </w:pPr>
            <w:r>
              <w:t xml:space="preserve">Requires machine-parseable criteria. Relies on the model's own linking, so it is an upper 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Required case type presence</w:t>
            </w:r>
          </w:p>
        </w:tc>
        <w:tc>
          <w:tcPr/>
          <w:p>
            <w:pPr>
              <w:pStyle w:val="Compact"/>
            </w:pPr>
            <w:r>
              <w:t xml:space="preserve">mean over plans of types present Ã· types required</w:t>
            </w:r>
          </w:p>
        </w:tc>
        <w:tc>
          <w:tcPr/>
          <w:p>
            <w:pPr>
              <w:pStyle w:val="Compact"/>
            </w:pPr>
            <w:r>
              <w:t xml:space="preserve">â‰¥85%</w:t>
            </w:r>
          </w:p>
        </w:tc>
        <w:tc>
          <w:tcPr/>
          <w:p>
            <w:pPr>
              <w:pStyle w:val="Compact"/>
            </w:pPr>
            <w:r>
              <w:t xml:space="preserve">Relies on the model's own case type labelling. A mislabelled case inflates the figure. Periodic manual audit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Duplicate case rate</w:t>
            </w:r>
          </w:p>
        </w:tc>
        <w:tc>
          <w:tcPr/>
          <w:p>
            <w:pPr>
              <w:pStyle w:val="Compact"/>
            </w:pPr>
            <w:r>
              <w:t xml:space="preserve">cases exceeding within-plan cosine similarity Î¸ Ã· total cases</w:t>
            </w:r>
          </w:p>
        </w:tc>
        <w:tc>
          <w:tcPr/>
          <w:p>
            <w:pPr>
              <w:pStyle w:val="Compact"/>
            </w:pPr>
            <w:r>
              <w:t xml:space="preserve">â‰¤10%</w:t>
            </w:r>
          </w:p>
        </w:tc>
        <w:tc>
          <w:tcPr/>
          <w:p>
            <w:pPr>
              <w:pStyle w:val="Compact"/>
            </w:pPr>
            <w:r>
              <w:t xml:space="preserve">Î¸ is arbitrary and must be fixed and documented. Legitimately similar cases may be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Correction Recurrence Rate</w:t>
            </w:r>
          </w:p>
        </w:tc>
        <w:tc>
          <w:tcPr/>
          <w:p>
            <w:pPr>
              <w:pStyle w:val="Compact"/>
            </w:pPr>
            <w:r>
              <w:t xml:space="preserve">confirmed corrections recurring as errors on later structurally similar tasks Ã· total confirmed corrections</w:t>
            </w:r>
          </w:p>
        </w:tc>
        <w:tc>
          <w:tcPr/>
          <w:p>
            <w:pPr>
              <w:pStyle w:val="Compact"/>
            </w:pPr>
            <w:r>
              <w:t xml:space="preserve">â‰¤20%</w:t>
            </w:r>
          </w:p>
        </w:tc>
        <w:tc>
          <w:tcPr/>
          <w:p>
            <w:pPr>
              <w:pStyle w:val="Compact"/>
            </w:pPr>
            <w:r>
              <w:t xml:space="preserve">Wholly dependent on the structural similarity threshold. Cannot distinguish a memory retrieved and disregarded from one never retrieved. Always reported alongside M7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Retrieval precision and recall at 5</w:t>
            </w:r>
          </w:p>
        </w:tc>
        <w:tc>
          <w:tcPr/>
          <w:p>
            <w:pPr>
              <w:pStyle w:val="Compact"/>
            </w:pPr>
            <w:r>
              <w:t xml:space="preserve">against the labelled relevance set</w:t>
            </w:r>
          </w:p>
        </w:tc>
        <w:tc>
          <w:tcPr/>
          <w:p>
            <w:pPr>
              <w:pStyle w:val="Compact"/>
            </w:pPr>
            <w:r>
              <w:t xml:space="preserve">â‰¥70% / â‰¥60%</w:t>
            </w:r>
          </w:p>
        </w:tc>
        <w:tc>
          <w:tcPr/>
          <w:p>
            <w:pPr>
              <w:pStyle w:val="Compact"/>
            </w:pPr>
            <w:r>
              <w:t xml:space="preserve">Labels represent one engineer's judgment over a small set. Relevance is partly subjective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Evaluation pass rate</w:t>
            </w:r>
          </w:p>
        </w:tc>
        <w:tc>
          <w:tcPr/>
          <w:p>
            <w:pPr>
              <w:pStyle w:val="Compact"/>
            </w:pPr>
            <w:r>
              <w:t xml:space="preserve">cases passing every gate Ã· total cases</w:t>
            </w:r>
          </w:p>
        </w:tc>
        <w:tc>
          <w:tcPr/>
          <w:p>
            <w:pPr>
              <w:pStyle w:val="Compact"/>
            </w:pPr>
            <w:r>
              <w:t xml:space="preserve">â‰¥85%</w:t>
            </w:r>
          </w:p>
        </w:tc>
        <w:tc>
          <w:tcPr/>
          <w:p>
            <w:pPr>
              <w:pStyle w:val="Compact"/>
            </w:pPr>
            <w:r>
              <w:t xml:space="preserve">Bounded by dataset breadth. A narrow dataset yields a flattering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Provider call failure rate</w:t>
            </w:r>
          </w:p>
        </w:tc>
        <w:tc>
          <w:tcPr/>
          <w:p>
            <w:pPr>
              <w:pStyle w:val="Compact"/>
            </w:pPr>
            <w:r>
              <w:t xml:space="preserve">failed calls Ã· total calls</w:t>
            </w:r>
          </w:p>
        </w:tc>
        <w:tc>
          <w:tcPr/>
          <w:p>
            <w:pPr>
              <w:pStyle w:val="Compact"/>
            </w:pPr>
            <w:r>
              <w:t xml:space="preserve">â‰¤2%</w:t>
            </w:r>
          </w:p>
        </w:tc>
        <w:tc>
          <w:tcPr/>
          <w:p>
            <w:pPr>
              <w:pStyle w:val="Compact"/>
            </w:pPr>
            <w:r>
              <w:t xml:space="preserve">Local failures are predominantly environmental, so this tracks environment health more than code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Latency percentiles</w:t>
            </w:r>
          </w:p>
        </w:tc>
        <w:tc>
          <w:tcPr/>
          <w:p>
            <w:pPr>
              <w:pStyle w:val="Compact"/>
            </w:pPr>
            <w:r>
              <w:t xml:space="preserve">50th, 95th, 99th, end to end and per step</w:t>
            </w:r>
          </w:p>
        </w:tc>
        <w:tc>
          <w:tcPr/>
          <w:p>
            <w:pPr>
              <w:pStyle w:val="Compact"/>
            </w:pPr>
            <w:r>
              <w:t xml:space="preserve">Set from data</w:t>
            </w:r>
          </w:p>
        </w:tc>
        <w:tc>
          <w:tcPr/>
          <w:p>
            <w:pPr>
              <w:pStyle w:val="Compact"/>
            </w:pPr>
            <w:r>
              <w:t xml:space="preserve">Meaningless without stating GPU, model, and quantization. Cold model load reported separately: one measurement showed 115 s cold against 18 to 21 s warm for the same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Resource cost per task</w:t>
            </w:r>
          </w:p>
        </w:tc>
        <w:tc>
          <w:tcPr/>
          <w:p>
            <w:pPr>
              <w:pStyle w:val="Compact"/>
            </w:pPr>
            <w:r>
              <w:t xml:space="preserve">tokens and elapsed time locally; billed cost for hosted providers</w:t>
            </w:r>
          </w:p>
        </w:tc>
        <w:tc>
          <w:tcPr/>
          <w:p>
            <w:pPr>
              <w:pStyle w:val="Compact"/>
            </w:pPr>
            <w:r>
              <w:t xml:space="preserve">Not applicable locally</w:t>
            </w:r>
          </w:p>
        </w:tc>
        <w:tc>
          <w:tcPr/>
          <w:p>
            <w:pPr>
              <w:pStyle w:val="Compact"/>
            </w:pPr>
            <w:r>
              <w:t xml:space="preserve">Local inference carries no marginal token cost. A monetary figure would be fabricated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Regression rate</w:t>
            </w:r>
          </w:p>
        </w:tc>
        <w:tc>
          <w:tcPr/>
          <w:p>
            <w:pPr>
              <w:pStyle w:val="Compact"/>
            </w:pPr>
            <w:r>
              <w:t xml:space="preserve">cases passing in run Nâˆ’1 and failing in run N Ã· cases passing in run Nâˆ’1</w:t>
            </w:r>
          </w:p>
        </w:tc>
        <w:tc>
          <w:tcPr/>
          <w:p>
            <w:pPr>
              <w:pStyle w:val="Compact"/>
            </w:pPr>
            <w:r>
              <w:t xml:space="preserve">â‰¤5%</w:t>
            </w:r>
          </w:p>
        </w:tc>
        <w:tc>
          <w:tcPr/>
          <w:p>
            <w:pPr>
              <w:pStyle w:val="Compact"/>
            </w:pPr>
            <w:r>
              <w:t xml:space="preserve">Comparable only within a dataset version. Sensitive to nondeterminism, mitigated by a fixed seed, with residual variance measured before thresholds are set</w:t>
            </w:r>
          </w:p>
        </w:tc>
      </w:tr>
    </w:tbl>
    <w:p>
      <w:pPr>
        <w:pStyle w:val="BodyText"/>
      </w:pPr>
      <w:r>
        <w:t xml:space="preserve">M6 is the primary metric. It renders the project's central claim falsifiable and is reported</w:t>
      </w:r>
      <w:r>
        <w:t xml:space="preserve"> </w:t>
      </w:r>
      <w:r>
        <w:t xml:space="preserve">including any run in which it deteriorates.</w:t>
      </w:r>
    </w:p>
    <w:bookmarkEnd w:id="31"/>
    <w:bookmarkStart w:id="32" w:name="X10d7d6b06e7de407719fcd3159d7c16003c4802"/>
    <w:p>
      <w:pPr>
        <w:pStyle w:val="Heading3"/>
      </w:pPr>
      <w:r>
        <w:t xml:space="preserve">5.6 Test completion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Sub-process</w:t>
            </w:r>
          </w:p>
        </w:tc>
        <w:tc>
          <w:tcPr/>
          <w:p>
            <w:pPr>
              <w:pStyle w:val="Compact"/>
            </w:pPr>
            <w:r>
              <w:t xml:space="preserve">Completion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All pass. Statement coverage at least 80% on memory, retrieval, scoring, and validation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All pass, including worker termination, lease reclamation, poison job, and failed-task trace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The golden path completes through the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Zero failures. Cross-tenant isolation admits no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No gate metric below threshold. M6 measured across at least two runs on a fixed dataset version</w:t>
            </w:r>
          </w:p>
        </w:tc>
      </w:tr>
    </w:tbl>
    <w:p>
      <w:pPr>
        <w:pStyle w:val="BodyText"/>
      </w:pPr>
      <w:r>
        <w:t xml:space="preserve">Release acceptance additionally requires: a deliberately degraded prompt version demonstrably blocked</w:t>
      </w:r>
      <w:r>
        <w:t xml:space="preserve"> </w:t>
      </w:r>
      <w:r>
        <w:t xml:space="preserve">by the gate; deployment from a clean checkout on a separate host; and a completed restore drill.</w:t>
      </w:r>
    </w:p>
    <w:bookmarkEnd w:id="32"/>
    <w:bookmarkStart w:id="33" w:name="X26a20c271e76ca3d9fcfa05680e264d61679509"/>
    <w:p>
      <w:pPr>
        <w:pStyle w:val="Heading3"/>
      </w:pPr>
      <w:r>
        <w:t xml:space="preserve">5.7 Test environment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Local. Real datastore in a container, fake inference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integration</w:t>
            </w:r>
          </w:p>
        </w:tc>
        <w:tc>
          <w:tcPr/>
          <w:p>
            <w:pPr>
              <w:pStyle w:val="Compact"/>
            </w:pPr>
            <w:r>
              <w:t xml:space="preserve">Ephemeral datastore container. Fake provider for integration; pinned real model for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Pinned model version, fixed seed,</w:t>
            </w:r>
            <w:r>
              <w:t xml:space="preserve"> </w:t>
            </w:r>
            <w:r>
              <w:rPr>
                <w:b/>
                <w:bCs/>
              </w:rPr>
              <w:t xml:space="preserve">separate datastore instance</w:t>
            </w:r>
            <w:r>
              <w:t xml:space="preserve">. The evaluation harness must never share a datastore with a working instance</w:t>
            </w:r>
          </w:p>
        </w:tc>
      </w:tr>
    </w:tbl>
    <w:p>
      <w:pPr>
        <w:pStyle w:val="BodyText"/>
      </w:pPr>
      <w:r>
        <w:t xml:space="preserve">The reference configuration for every timing measurement is: NVIDIA RTX 4050 Laptop, 6 GB VRAM,</w:t>
      </w:r>
      <w:r>
        <w:t xml:space="preserve"> </w:t>
      </w:r>
      <w:r>
        <w:t xml:space="preserve">4B-parameter model at 4-bit quantization, 8192-token context, inference runtime on the host.</w:t>
      </w:r>
      <w:r>
        <w:t xml:space="preserve"> </w:t>
      </w:r>
      <w:r>
        <w:t xml:space="preserve">Measurements are void without this qualification.</w:t>
      </w:r>
    </w:p>
    <w:bookmarkEnd w:id="33"/>
    <w:bookmarkStart w:id="38" w:name="Xe0f9b8cfd7c6730720929f4945015e4d5a8955b"/>
    <w:p>
      <w:pPr>
        <w:pStyle w:val="Heading3"/>
      </w:pPr>
      <w:r>
        <w:t xml:space="preserve">5.8 Retesting and regression testing</w:t>
      </w:r>
    </w:p>
    <w:p>
      <w:pPr>
        <w:pStyle w:val="FirstParagraph"/>
      </w:pPr>
      <w:r>
        <w:drawing>
          <wp:inline>
            <wp:extent cx="5943600" cy="74724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:/Users/laxmi/AppData/Local/Temp/nova-docs-469f4695/test-plan-1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Blocks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analysis, unit, integration, contract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suite, any failure</w:t>
            </w:r>
          </w:p>
        </w:tc>
        <w:tc>
          <w:tcPr/>
          <w:p>
            <w:pPr>
              <w:pStyle w:val="Compact"/>
            </w:pPr>
            <w:r>
              <w:t xml:space="preserve">Yes, unconditionally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isolation</w:t>
            </w:r>
          </w:p>
        </w:tc>
        <w:tc>
          <w:tcPr/>
          <w:p>
            <w:pPr>
              <w:pStyle w:val="Compact"/>
            </w:pPr>
            <w:r>
              <w:t xml:space="preserve">Yes, unconditionally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evaluation run</w:t>
            </w:r>
          </w:p>
        </w:tc>
        <w:tc>
          <w:tcPr/>
          <w:p>
            <w:pPr>
              <w:pStyle w:val="Compact"/>
            </w:pPr>
            <w:r>
              <w:t xml:space="preserve">Only where prompts, playbooks, or configuration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gate metric below threshold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expensive gate executes only where it can produce information. Thresholds derive from measured</w:t>
      </w:r>
      <w:r>
        <w:t xml:space="preserve"> </w:t>
      </w:r>
      <w:r>
        <w:t xml:space="preserve">variance rather than from intent; that measurement does not yet exist and is a prerequisite recorded</w:t>
      </w:r>
      <w:r>
        <w:t xml:space="preserve"> </w:t>
      </w:r>
      <w:r>
        <w:t xml:space="preserve">in</w:t>
      </w:r>
      <w:r>
        <w:t xml:space="preserve"> </w:t>
      </w:r>
      <w:hyperlink r:id="rId37">
        <w:r>
          <w:rPr>
            <w:rStyle w:val="Hyperlink"/>
          </w:rPr>
          <w:t xml:space="preserve">NOVA-SDP-001</w:t>
        </w:r>
      </w:hyperlink>
      <w:r>
        <w:t xml:space="preserve">.</w:t>
      </w:r>
    </w:p>
    <w:p>
      <w:pPr>
        <w:pStyle w:val="BodyText"/>
      </w:pPr>
      <w:r>
        <w:t xml:space="preserve">Every defect of severity S1 or S2 receives a failing test before the corrective change. For defects</w:t>
      </w:r>
      <w:r>
        <w:t xml:space="preserve"> </w:t>
      </w:r>
      <w:r>
        <w:t xml:space="preserve">of output quality, the regression test is a new evaluation case added to the dataset, which is how</w:t>
      </w:r>
      <w:r>
        <w:t xml:space="preserve"> </w:t>
      </w:r>
      <w:r>
        <w:t xml:space="preserve">the dataset accrues coverage rather than being authored once and left static.</w:t>
      </w:r>
    </w:p>
    <w:bookmarkEnd w:id="38"/>
    <w:bookmarkStart w:id="39" w:name="X356c39e70973024ba173acd92dcb1e474a45548"/>
    <w:p>
      <w:pPr>
        <w:pStyle w:val="Heading3"/>
      </w:pPr>
      <w:r>
        <w:t xml:space="preserve">5.9 Suspension and resumption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disclosure observed</w:t>
            </w:r>
          </w:p>
        </w:tc>
        <w:tc>
          <w:tcPr/>
          <w:p>
            <w:pPr>
              <w:pStyle w:val="Compact"/>
            </w:pPr>
            <w:r>
              <w:t xml:space="preserve">Suspend feature work. Correct, add a regression test,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gate observed to flap</w:t>
            </w:r>
          </w:p>
        </w:tc>
        <w:tc>
          <w:tcPr/>
          <w:p>
            <w:pPr>
              <w:pStyle w:val="Compact"/>
            </w:pPr>
            <w:r>
              <w:t xml:space="preserve">Suspend reliance on the gate. Measure variance, reset thresholds,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dataset edited without a version increment</w:t>
            </w:r>
          </w:p>
        </w:tc>
        <w:tc>
          <w:tcPr/>
          <w:p>
            <w:pPr>
              <w:pStyle w:val="Compact"/>
            </w:pPr>
            <w:r>
              <w:t xml:space="preserve">Suspend trend reporting until the version is 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environment altered</w:t>
            </w:r>
          </w:p>
        </w:tc>
        <w:tc>
          <w:tcPr/>
          <w:p>
            <w:pPr>
              <w:pStyle w:val="Compact"/>
            </w:pPr>
            <w:r>
              <w:t xml:space="preserve">Suspend cross-run comparison until a new baseline is established</w:t>
            </w:r>
          </w:p>
        </w:tc>
      </w:tr>
    </w:tbl>
    <w:bookmarkEnd w:id="39"/>
    <w:bookmarkEnd w:id="40"/>
    <w:bookmarkStart w:id="44" w:name="X156024f1f19e1406cee2c4d8ad8640f6459c894"/>
    <w:p>
      <w:pPr>
        <w:pStyle w:val="Heading2"/>
      </w:pPr>
      <w:r>
        <w:t xml:space="preserve">6. Testing activities and estimates</w:t>
      </w:r>
    </w:p>
    <w:bookmarkStart w:id="41" w:name="Xeba3d2b01def26f4ca6fe8bcbc2d225f7d6f260"/>
    <w:p>
      <w:pPr>
        <w:pStyle w:val="Heading3"/>
      </w:pPr>
      <w:r>
        <w:t xml:space="preserve">6.1 Automated activity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suites, developed alongside implementation</w:t>
            </w:r>
          </w:p>
        </w:tc>
        <w:tc>
          <w:tcPr/>
          <w:p>
            <w:pPr>
              <w:pStyle w:val="Compact"/>
            </w:pPr>
            <w:r>
              <w:t xml:space="preserve">M2 to M5</w:t>
            </w:r>
          </w:p>
        </w:tc>
        <w:tc>
          <w:tcPr/>
          <w:p>
            <w:pPr>
              <w:pStyle w:val="Compact"/>
            </w:pPr>
            <w:r>
              <w:t xml:space="preserve">Included in feature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suite</w:t>
            </w:r>
          </w:p>
        </w:tc>
        <w:tc>
          <w:tcPr/>
          <w:p>
            <w:pPr>
              <w:pStyle w:val="Compact"/>
            </w:pPr>
            <w:r>
              <w:t xml:space="preserve">M2 to M3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suite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3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path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dataset authoring</w:t>
            </w:r>
          </w:p>
        </w:tc>
        <w:tc>
          <w:tcPr/>
          <w:p>
            <w:pPr>
              <w:pStyle w:val="Compact"/>
            </w:pPr>
            <w:r>
              <w:t xml:space="preserve">M2 to M5</w:t>
            </w:r>
          </w:p>
        </w:tc>
        <w:tc>
          <w:tcPr/>
          <w:p>
            <w:pPr>
              <w:pStyle w:val="Compact"/>
            </w:pPr>
            <w:r>
              <w:t xml:space="preserve">15 to 25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harness and metric computation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10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scenario suite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integration configuration and gating</w:t>
            </w:r>
          </w:p>
        </w:tc>
        <w:tc>
          <w:tcPr/>
          <w:p>
            <w:pPr>
              <w:pStyle w:val="Compact"/>
            </w:pPr>
            <w:r>
              <w:t xml:space="preserve">M2, M5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</w:tr>
    </w:tbl>
    <w:bookmarkEnd w:id="41"/>
    <w:bookmarkStart w:id="42" w:name="X4e7f1f432a1074f0666c6e5e78f8e23ab56fc0a"/>
    <w:p>
      <w:pPr>
        <w:pStyle w:val="Heading3"/>
      </w:pPr>
      <w:r>
        <w:t xml:space="preserve">6.2 Manual activity</w:t>
      </w:r>
    </w:p>
    <w:p>
      <w:pPr>
        <w:pStyle w:val="FirstParagraph"/>
      </w:pPr>
      <w:r>
        <w:t xml:space="preserve">Charter-based, time-boxed to approximately 60 minutes each. Automation does not detect everything.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Charter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 usage</w:t>
            </w:r>
          </w:p>
        </w:tc>
        <w:tc>
          <w:tcPr/>
          <w:p>
            <w:pPr>
              <w:pStyle w:val="Compact"/>
            </w:pPr>
            <w:r>
              <w:t xml:space="preserve">Operate NOVA on genuine requirements from personal work. Record every point of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management</w:t>
            </w:r>
          </w:p>
        </w:tc>
        <w:tc>
          <w:tcPr/>
          <w:p>
            <w:pPr>
              <w:pStyle w:val="Compact"/>
            </w:pPr>
            <w:r>
              <w:t xml:space="preserve">Deliberately construct contradictory, overlapping, and nonsensical memories. Observe system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comprehension</w:t>
            </w:r>
          </w:p>
        </w:tc>
        <w:tc>
          <w:tcPr/>
          <w:p>
            <w:pPr>
              <w:pStyle w:val="Compact"/>
            </w:pPr>
            <w:r>
              <w:t xml:space="preserve">Present the trace viewer to a reader unfamiliar with the system. Determine whether they can explain what occurred. If they cannot, the observability provision is decorative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adversarial</w:t>
            </w:r>
          </w:p>
        </w:tc>
        <w:tc>
          <w:tcPr/>
          <w:p>
            <w:pPr>
              <w:pStyle w:val="Compact"/>
            </w:pPr>
            <w:r>
              <w:t xml:space="preserve">Attempt injections the automated suite does not 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Fresh database. Assess whether a first-time experience is coherent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presentation</w:t>
            </w:r>
          </w:p>
        </w:tc>
        <w:tc>
          <w:tcPr/>
          <w:p>
            <w:pPr>
              <w:pStyle w:val="Compact"/>
            </w:pPr>
            <w:r>
              <w:t xml:space="preserve">Terminate the inference runtime mid-task. Assess whether the resulting error is actionable</w:t>
            </w:r>
          </w:p>
        </w:tc>
      </w:tr>
    </w:tbl>
    <w:bookmarkEnd w:id="42"/>
    <w:bookmarkStart w:id="43" w:name="X9df0598578882b0296d5778e113acb25955420b"/>
    <w:p>
      <w:pPr>
        <w:pStyle w:val="Heading3"/>
      </w:pPr>
      <w:r>
        <w:t xml:space="preserve">6.3 Production-like validation</w:t>
      </w:r>
    </w:p>
    <w:p>
      <w:pPr>
        <w:pStyle w:val="FirstParagraph"/>
      </w:pPr>
      <w:r>
        <w:t xml:space="preserve">No production environment exists. The nearest equivalents, described as such:</w:t>
      </w:r>
    </w:p>
    <w:p>
      <w:pPr>
        <w:pStyle w:val="Compact"/>
        <w:numPr>
          <w:ilvl w:val="0"/>
          <w:numId w:val="1001"/>
        </w:numPr>
      </w:pPr>
      <w:r>
        <w:t xml:space="preserve">Deployment from a clean checkout on a separate host or virtual machine, which detects the class of</w:t>
      </w:r>
      <w:r>
        <w:t xml:space="preserve"> </w:t>
      </w:r>
      <w:r>
        <w:t xml:space="preserve">defect that appears only in the absence of accumulated development-machine state</w:t>
      </w:r>
    </w:p>
    <w:p>
      <w:pPr>
        <w:pStyle w:val="Compact"/>
        <w:numPr>
          <w:ilvl w:val="0"/>
          <w:numId w:val="1001"/>
        </w:numPr>
      </w:pPr>
      <w:r>
        <w:t xml:space="preserve">Sustained run of at least 50 sequential tasks, monitoring memory growth, trace volume, and</w:t>
      </w:r>
      <w:r>
        <w:t xml:space="preserve"> </w:t>
      </w:r>
      <w:r>
        <w:t xml:space="preserve">retrieval degradation</w:t>
      </w:r>
    </w:p>
    <w:p>
      <w:pPr>
        <w:pStyle w:val="Compact"/>
        <w:numPr>
          <w:ilvl w:val="0"/>
          <w:numId w:val="1001"/>
        </w:numPr>
      </w:pPr>
      <w:r>
        <w:t xml:space="preserve">Restore drill from backup</w:t>
      </w:r>
    </w:p>
    <w:p>
      <w:pPr>
        <w:pStyle w:val="Compact"/>
        <w:numPr>
          <w:ilvl w:val="0"/>
          <w:numId w:val="1001"/>
        </w:numPr>
      </w:pPr>
      <w:r>
        <w:t xml:space="preserve">Reproducibility check: identical seed, model version, and configuration version yielding equivalent</w:t>
      </w:r>
      <w:r>
        <w:t xml:space="preserve"> </w:t>
      </w:r>
      <w:r>
        <w:t xml:space="preserve">output. Should this fail, every regression comparison is noise</w:t>
      </w:r>
    </w:p>
    <w:bookmarkEnd w:id="43"/>
    <w:bookmarkEnd w:id="44"/>
    <w:bookmarkStart w:id="45" w:name="X667876742109bc1fba03d8e0193bda9a9086409"/>
    <w:p>
      <w:pPr>
        <w:pStyle w:val="Heading2"/>
      </w:pPr>
      <w:r>
        <w:t xml:space="preserve">7. Staffing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Held by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manager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This plan, gate definitions, threshold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designer and implementer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Suite construction, dataset authoring, scenario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executor</w:t>
            </w:r>
          </w:p>
        </w:tc>
        <w:tc>
          <w:tcPr/>
          <w:p>
            <w:pPr>
              <w:pStyle w:val="Compact"/>
            </w:pPr>
            <w:r>
              <w:t xml:space="preserve">Continuous integration, plus the engineer for manual charters</w:t>
            </w:r>
          </w:p>
        </w:tc>
        <w:tc>
          <w:tcPr/>
          <w:p>
            <w:pPr>
              <w:pStyle w:val="Compact"/>
            </w:pPr>
            <w:r>
              <w:t xml:space="preserve">Execution, result recording</w:t>
            </w:r>
          </w:p>
        </w:tc>
      </w:tr>
    </w:tbl>
    <w:p>
      <w:pPr>
        <w:pStyle w:val="BodyText"/>
      </w:pPr>
      <w:r>
        <w:t xml:space="preserve">No hiring or training need arises. The single-reviewer limitation is recorded as project risk PJ-3</w:t>
      </w:r>
      <w:r>
        <w:t xml:space="preserve"> </w:t>
      </w:r>
      <w:r>
        <w:t xml:space="preserve">and as constraint TC-1.</w:t>
      </w:r>
    </w:p>
    <w:bookmarkEnd w:id="45"/>
    <w:bookmarkStart w:id="46" w:name="X54e725f9a65c050dbc683b5865cc7e7d226abe4"/>
    <w:p>
      <w:pPr>
        <w:pStyle w:val="Heading2"/>
      </w:pPr>
      <w:r>
        <w:t xml:space="preserve">8.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Testing activity</w:t>
            </w:r>
          </w:p>
        </w:tc>
        <w:tc>
          <w:tcPr/>
          <w:p>
            <w:pPr>
              <w:pStyle w:val="Compact"/>
            </w:pPr>
            <w:r>
              <w:t xml:space="preserve">Gate introduced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Spike harness self-test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Unit and integration suites, contract test, initial dataset cases</w:t>
            </w:r>
          </w:p>
        </w:tc>
        <w:tc>
          <w:tcPr/>
          <w:p>
            <w:pPr>
              <w:pStyle w:val="Compact"/>
            </w:pPr>
            <w:r>
              <w:t xml:space="preserve">Static analysis, unit, integration,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Isolation suite, deletion completeness, end-to-end path, extraction precision measurement</w:t>
            </w:r>
          </w:p>
        </w:tc>
        <w:tc>
          <w:tcPr/>
          <w:p>
            <w:pPr>
              <w:pStyle w:val="Compact"/>
            </w:pPr>
            <w:r>
              <w:t xml:space="preserve">Isolation, unconditional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Selection determinism and poisoning scenarios</w:t>
            </w:r>
          </w:p>
        </w:tc>
        <w:tc>
          <w:tcPr/>
          <w:p>
            <w:pPr>
              <w:pStyle w:val="Compact"/>
            </w:pPr>
            <w:r>
              <w:t xml:space="preserve">Included in the adversarial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Full dataset, evaluation harness, adversarial suite, variance measurement, threshold setting</w:t>
            </w:r>
          </w:p>
        </w:tc>
        <w:tc>
          <w:tcPr/>
          <w:p>
            <w:pPr>
              <w:pStyle w:val="Compact"/>
            </w:pPr>
            <w:r>
              <w:t xml:space="preserve">Adversarial and evaluation regression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Fault injection for every degraded mode, soak run, restore drill, clean-checkout deployment</w:t>
            </w:r>
          </w:p>
        </w:tc>
        <w:tc>
          <w:tcPr/>
          <w:p>
            <w:pPr>
              <w:pStyle w:val="Compact"/>
            </w:pPr>
            <w:r>
              <w:t xml:space="preserve">Log content 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Documentation accuracy pass, tracing every stated claim to a test, metric, or decision record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46"/>
    <w:bookmarkStart w:id="47" w:name="Xda2a878d8b347d19c7dcf3bb00a4e2fed6c94e0"/>
    <w:p>
      <w:pPr>
        <w:pStyle w:val="Heading2"/>
      </w:pPr>
      <w:r>
        <w:t xml:space="preserve">9. Defect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Data loss, cross-tenant disclosure, unbounded resource consumption</w:t>
            </w:r>
          </w:p>
        </w:tc>
        <w:tc>
          <w:tcPr/>
          <w:p>
            <w:pPr>
              <w:pStyle w:val="Compact"/>
            </w:pPr>
            <w:r>
              <w:t xml:space="preserve">Suspend feature work. Correct, add a regression test,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Primary workflow inoperable</w:t>
            </w:r>
          </w:p>
        </w:tc>
        <w:tc>
          <w:tcPr/>
          <w:p>
            <w:pPr>
              <w:pStyle w:val="Compact"/>
            </w:pPr>
            <w:r>
              <w:t xml:space="preserve">Correct within the current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Degraded quality or confusing presentation</w:t>
            </w:r>
          </w:p>
        </w:tc>
        <w:tc>
          <w:tcPr/>
          <w:p>
            <w:pPr>
              <w:pStyle w:val="Compact"/>
            </w:pPr>
            <w:r>
              <w:t xml:space="preserve">Backlog with a recorded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Backlog. May remain uncorrected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bookmarkEnd w:id="48"/>
    <w:bookmarkEnd w:id="49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hyperlink" Id="rId37" Target="sdp.md" TargetMode="External" /><Relationship Type="http://schemas.openxmlformats.org/officeDocument/2006/relationships/hyperlink" Id="rId11" Target="srs.md#14-definitions-acronyms-and-abbrevi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sdp.md" TargetMode="External" /><Relationship Type="http://schemas.openxmlformats.org/officeDocument/2006/relationships/hyperlink" Id="rId11" Target="srs.md#14-definitions-acronyms-and-abbrevi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2026-09-09T01:14:23Z</dcterms:created>
  <dcterms:modified xsi:type="dcterms:W3CDTF">2026-09-09T01:14:23Z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