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nova-documentation"/>
    <w:p>
      <w:pPr>
        <w:pStyle w:val="Heading1"/>
      </w:pPr>
      <w:r>
        <w:t xml:space="preserve">NOVA documentation</w:t>
      </w:r>
    </w:p>
    <w:p>
      <w:pPr>
        <w:pStyle w:val="FirstParagraph"/>
      </w:pPr>
      <w:r>
        <w:t xml:space="preserve">Document set for the NOVA project. Authored in Markdown, versioned in git, reviewed through pull</w:t>
      </w:r>
      <w:r>
        <w:t xml:space="preserve"> </w:t>
      </w:r>
      <w:r>
        <w:t xml:space="preserve">requests. Distributable DOCX and PDF are generated from these sources.</w:t>
      </w:r>
    </w:p>
    <w:bookmarkStart w:id="19" w:name="documents"/>
    <w:p>
      <w:pPr>
        <w:pStyle w:val="Heading2"/>
      </w:pPr>
      <w:r>
        <w:t xml:space="preserve">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Standard followed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NOVA-VS-001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Vision and Scope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Wiegers vision and scope template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NOVA-SRS-001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Software Requirements Specification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ISO/IEC/IEEE 29148:2018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NOVA-SAD-001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Software Architecture Document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arc42 v9, C4 model, ISO/IEC/IEEE 42010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NOVA-STP-001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Software Test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ISO/IEC/IEEE 29119-3:2021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NOVA-TM-001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Threat Model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STRIDE, OWASP ASVS references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NOVA-SDP-001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Software Development Plan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ISO/IEC/IEEE 16326:2019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NOVA-RR-001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Risk Register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ISO 31000 risk register practice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NOVA-DL-001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Decision 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decision log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Architecture Decision Records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MADR 4.0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Spikes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convention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</w:tbl>
    <w:bookmarkEnd w:id="19"/>
    <w:bookmarkStart w:id="22" w:name="reading-order"/>
    <w:p>
      <w:pPr>
        <w:pStyle w:val="Heading2"/>
      </w:pPr>
      <w:r>
        <w:t xml:space="preserve">Reading order</w:t>
      </w:r>
    </w:p>
    <w:p>
      <w:pPr>
        <w:pStyle w:val="FirstParagraph"/>
      </w:pPr>
      <w:r>
        <w:t xml:space="preserve">New reader with limited time:</w:t>
      </w:r>
      <w:r>
        <w:t xml:space="preserve"> </w:t>
      </w:r>
      <w:hyperlink r:id="rId9">
        <w:r>
          <w:rPr>
            <w:rStyle w:val="Hyperlink"/>
          </w:rPr>
          <w:t xml:space="preserve">Vision and Scope</w:t>
        </w:r>
      </w:hyperlink>
      <w:r>
        <w:t xml:space="preserve">, then</w:t>
      </w:r>
      <w:r>
        <w:t xml:space="preserve"> </w:t>
      </w:r>
      <w:hyperlink r:id="rId20">
        <w:r>
          <w:rPr>
            <w:rStyle w:val="Hyperlink"/>
          </w:rPr>
          <w:t xml:space="preserve">section 1 of the SAD</w:t>
        </w:r>
      </w:hyperlink>
      <w:r>
        <w:t xml:space="preserve">, then the</w:t>
      </w:r>
      <w:r>
        <w:t xml:space="preserve"> </w:t>
      </w:r>
      <w:hyperlink r:id="rId21">
        <w:r>
          <w:rPr>
            <w:rStyle w:val="Hyperlink"/>
          </w:rPr>
          <w:t xml:space="preserve">model selection spike</w:t>
        </w:r>
      </w:hyperlink>
      <w:r>
        <w:t xml:space="preserve">.</w:t>
      </w:r>
    </w:p>
    <w:p>
      <w:pPr>
        <w:pStyle w:val="BodyText"/>
      </w:pPr>
      <w:r>
        <w:t xml:space="preserve">Evaluating the engineering:</w:t>
      </w:r>
      <w:r>
        <w:t xml:space="preserve"> </w:t>
      </w:r>
      <w:hyperlink r:id="rId11">
        <w:r>
          <w:rPr>
            <w:rStyle w:val="Hyperlink"/>
          </w:rPr>
          <w:t xml:space="preserve">SAD</w:t>
        </w:r>
      </w:hyperlink>
      <w:r>
        <w:t xml:space="preserve"> </w:t>
      </w:r>
      <w:r>
        <w:t xml:space="preserve">sections 4, 8, and 9, then the</w:t>
      </w:r>
      <w:r>
        <w:t xml:space="preserve"> </w:t>
      </w:r>
      <w:hyperlink r:id="rId12">
        <w:r>
          <w:rPr>
            <w:rStyle w:val="Hyperlink"/>
          </w:rPr>
          <w:t xml:space="preserve">Test Plan</w:t>
        </w:r>
      </w:hyperlink>
      <w:r>
        <w:t xml:space="preserve"> </w:t>
      </w:r>
      <w:r>
        <w:t xml:space="preserve">section 5, then the</w:t>
      </w:r>
      <w:r>
        <w:t xml:space="preserve"> </w:t>
      </w:r>
      <w:hyperlink r:id="rId17">
        <w:r>
          <w:rPr>
            <w:rStyle w:val="Hyperlink"/>
          </w:rPr>
          <w:t xml:space="preserve">ADRs</w:t>
        </w:r>
      </w:hyperlink>
      <w:r>
        <w:t xml:space="preserve">.</w:t>
      </w:r>
    </w:p>
    <w:bookmarkEnd w:id="22"/>
    <w:bookmarkStart w:id="23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t xml:space="preserve">Every document carries a control block: document ID, version, status, owner, and date, followed by</w:t>
      </w:r>
      <w:r>
        <w:t xml:space="preserve"> </w:t>
      </w:r>
      <w:r>
        <w:t xml:space="preserve">a revision history at the end.</w:t>
      </w:r>
    </w:p>
    <w:p>
      <w:pPr>
        <w:pStyle w:val="BodyText"/>
      </w:pPr>
      <w:r>
        <w:t xml:space="preserve">Status values, one word, in lifecycle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Being written. Content may change without notice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Complete and awaiting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Reviewed and accepted. Changes require a version bump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Approved and describing the system as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Superseded</w:t>
            </w:r>
          </w:p>
        </w:tc>
        <w:tc>
          <w:tcPr/>
          <w:p>
            <w:pPr>
              <w:pStyle w:val="Compact"/>
            </w:pPr>
            <w:r>
              <w:t xml:space="preserve">Replaced by a later document, retained for history</w:t>
            </w:r>
          </w:p>
        </w:tc>
      </w:tr>
    </w:tbl>
    <w:p>
      <w:pPr>
        <w:pStyle w:val="BodyText"/>
      </w:pPr>
      <w:r>
        <w:t xml:space="preserve">Versions follow</w:t>
      </w:r>
      <w:r>
        <w:t xml:space="preserve"> </w:t>
      </w:r>
      <w:r>
        <w:rPr>
          <w:rStyle w:val="VerbatimChar"/>
        </w:rPr>
        <w:t xml:space="preserve">MAJOR.MINOR</w:t>
      </w:r>
      <w:r>
        <w:t xml:space="preserve">. Minor for edits within a status, major on approval.</w:t>
      </w:r>
    </w:p>
    <w:bookmarkEnd w:id="23"/>
    <w:bookmarkStart w:id="26" w:name="building-docx-and-pdf"/>
    <w:p>
      <w:pPr>
        <w:pStyle w:val="Heading2"/>
      </w:pPr>
      <w:r>
        <w:t xml:space="preserve">Building DOCX and PDF</w:t>
      </w:r>
    </w:p>
    <w:p>
      <w:pPr>
        <w:pStyle w:val="FirstParagraph"/>
      </w:pPr>
      <w:r>
        <w:t xml:space="preserve">Sources are Markdown. Deliverables are generated with</w:t>
      </w:r>
      <w:r>
        <w:t xml:space="preserve"> </w:t>
      </w:r>
      <w:hyperlink r:id="rId24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into</w:t>
      </w:r>
      <w:r>
        <w:t xml:space="preserve"> </w:t>
      </w:r>
      <w:hyperlink r:id="rId25">
        <w:r>
          <w:rPr>
            <w:rStyle w:val="VerbatimChar"/>
          </w:rPr>
          <w:t xml:space="preserve">dist/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build-docs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Requires Pandoc. PDF export additionally requires Microsoft Word, which the script drives through</w:t>
      </w:r>
      <w:r>
        <w:t xml:space="preserve"> </w:t>
      </w:r>
      <w:r>
        <w:t xml:space="preserve">COM automation. Run with</w:t>
      </w:r>
      <w:r>
        <w:t xml:space="preserve"> </w:t>
      </w:r>
      <w:r>
        <w:rPr>
          <w:rStyle w:val="VerbatimChar"/>
        </w:rPr>
        <w:t xml:space="preserve">-Format docx</w:t>
      </w:r>
      <w:r>
        <w:t xml:space="preserve"> </w:t>
      </w:r>
      <w:r>
        <w:t xml:space="preserve">to skip PDF.</w:t>
      </w:r>
    </w:p>
    <w:bookmarkEnd w:id="26"/>
    <w:bookmarkStart w:id="29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Diagrams are</w:t>
      </w:r>
      <w:r>
        <w:t xml:space="preserve"> </w:t>
      </w:r>
      <w:hyperlink r:id="rId27">
        <w:r>
          <w:rPr>
            <w:rStyle w:val="Hyperlink"/>
          </w:rPr>
          <w:t xml:space="preserve">Mermaid</w:t>
        </w:r>
      </w:hyperlink>
      <w:r>
        <w:t xml:space="preserve"> </w:t>
      </w:r>
      <w:r>
        <w:t xml:space="preserve">fenced blocks, which GitHub renders natively. C4</w:t>
      </w:r>
      <w:r>
        <w:t xml:space="preserve"> </w:t>
      </w:r>
      <w:r>
        <w:t xml:space="preserve">levels 1 and 2 (context and container) are used for structural views</w:t>
      </w:r>
    </w:p>
    <w:p>
      <w:pPr>
        <w:pStyle w:val="Compact"/>
        <w:numPr>
          <w:ilvl w:val="0"/>
          <w:numId w:val="1001"/>
        </w:numPr>
      </w:pPr>
      <w:r>
        <w:t xml:space="preserve">Requirement identifiers are stable:</w:t>
      </w:r>
      <w:r>
        <w:t xml:space="preserve"> </w:t>
      </w:r>
      <w:r>
        <w:rPr>
          <w:rStyle w:val="VerbatimChar"/>
        </w:rPr>
        <w:t xml:space="preserve">FR-n</w:t>
      </w:r>
      <w:r>
        <w:t xml:space="preserve"> </w:t>
      </w:r>
      <w:r>
        <w:t xml:space="preserve">functional,</w:t>
      </w:r>
      <w:r>
        <w:t xml:space="preserve"> </w:t>
      </w:r>
      <w:r>
        <w:rPr>
          <w:rStyle w:val="VerbatimChar"/>
        </w:rPr>
        <w:t xml:space="preserve">NFR-n</w:t>
      </w:r>
      <w:r>
        <w:t xml:space="preserve"> </w:t>
      </w:r>
      <w:r>
        <w:t xml:space="preserve">non-functional,</w:t>
      </w:r>
      <w:r>
        <w:t xml:space="preserve"> </w:t>
      </w:r>
      <w:r>
        <w:rPr>
          <w:rStyle w:val="VerbatimChar"/>
        </w:rPr>
        <w:t xml:space="preserve">CON-n</w:t>
      </w:r>
      <w:r>
        <w:t xml:space="preserve"> </w:t>
      </w:r>
      <w:r>
        <w:t xml:space="preserve">constraint,</w:t>
      </w:r>
      <w:r>
        <w:t xml:space="preserve"> </w:t>
      </w:r>
      <w:r>
        <w:rPr>
          <w:rStyle w:val="VerbatimChar"/>
        </w:rPr>
        <w:t xml:space="preserve">ASM-n</w:t>
      </w:r>
      <w:r>
        <w:t xml:space="preserve"> </w:t>
      </w:r>
      <w:r>
        <w:t xml:space="preserve">assumption</w:t>
      </w:r>
    </w:p>
    <w:p>
      <w:pPr>
        <w:pStyle w:val="Compact"/>
        <w:numPr>
          <w:ilvl w:val="0"/>
          <w:numId w:val="1001"/>
        </w:numPr>
      </w:pPr>
      <w:r>
        <w:t xml:space="preserve">Architecture decisions use</w:t>
      </w:r>
      <w:r>
        <w:t xml:space="preserve"> </w:t>
      </w:r>
      <w:hyperlink r:id="rId28">
        <w:r>
          <w:rPr>
            <w:rStyle w:val="Hyperlink"/>
          </w:rPr>
          <w:t xml:space="preserve">MADR 4.0</w:t>
        </w:r>
      </w:hyperlink>
      <w:r>
        <w:t xml:space="preserve"> </w:t>
      </w:r>
      <w:r>
        <w:t xml:space="preserve">and are numbered sequentially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 Superseded ADRs are never deleted</w:t>
      </w:r>
    </w:p>
    <w:p>
      <w:pPr>
        <w:pStyle w:val="Compact"/>
        <w:numPr>
          <w:ilvl w:val="0"/>
          <w:numId w:val="1001"/>
        </w:numPr>
      </w:pPr>
      <w:r>
        <w:t xml:space="preserve">Measured values are stated with the method and sample size. Unmeasured values appear as bracketed</w:t>
      </w:r>
      <w:r>
        <w:t xml:space="preserve"> </w:t>
      </w:r>
      <w:r>
        <w:t xml:space="preserve">placeholders and are removed rather than softened if they cannot be filled</w:t>
      </w:r>
    </w:p>
    <w:bookmarkEnd w:id="29"/>
    <w:bookmarkEnd w:id="30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adr/" TargetMode="External" /><Relationship Type="http://schemas.openxmlformats.org/officeDocument/2006/relationships/hyperlink" Id="rId11" Target="architecture.md" TargetMode="External" /><Relationship Type="http://schemas.openxmlformats.org/officeDocument/2006/relationships/hyperlink" Id="rId20" Target="architecture.md#1-introduction-and-goals" TargetMode="External" /><Relationship Type="http://schemas.openxmlformats.org/officeDocument/2006/relationships/hyperlink" Id="rId16" Target="decision-log.md" TargetMode="External" /><Relationship Type="http://schemas.openxmlformats.org/officeDocument/2006/relationships/hyperlink" Id="rId25" Target="dist/" TargetMode="External" /><Relationship Type="http://schemas.openxmlformats.org/officeDocument/2006/relationships/hyperlink" Id="rId28" Target="https://adr.github.io/madr/" TargetMode="External" /><Relationship Type="http://schemas.openxmlformats.org/officeDocument/2006/relationships/hyperlink" Id="rId27" Target="https://mermaid.js.org" TargetMode="External" /><Relationship Type="http://schemas.openxmlformats.org/officeDocument/2006/relationships/hyperlink" Id="rId24" Target="https://pandoc.org" TargetMode="External" /><Relationship Type="http://schemas.openxmlformats.org/officeDocument/2006/relationships/hyperlink" Id="rId15" Target="risk-register.md" TargetMode="External" /><Relationship Type="http://schemas.openxmlformats.org/officeDocument/2006/relationships/hyperlink" Id="rId14" Target="sdp.md" TargetMode="External" /><Relationship Type="http://schemas.openxmlformats.org/officeDocument/2006/relationships/hyperlink" Id="rId18" Target="spikes/" TargetMode="External" /><Relationship Type="http://schemas.openxmlformats.org/officeDocument/2006/relationships/hyperlink" Id="rId21" Target="spikes/2026-09-07-model-selection.md" TargetMode="External" /><Relationship Type="http://schemas.openxmlformats.org/officeDocument/2006/relationships/hyperlink" Id="rId10" Target="srs.md" TargetMode="External" /><Relationship Type="http://schemas.openxmlformats.org/officeDocument/2006/relationships/hyperlink" Id="rId12" Target="test-plan.md" TargetMode="External" /><Relationship Type="http://schemas.openxmlformats.org/officeDocument/2006/relationships/hyperlink" Id="rId13" Target="threat-model.md" TargetMode="External" /><Relationship Type="http://schemas.openxmlformats.org/officeDocument/2006/relationships/hyperlink" Id="rId9" Target="vision-and-scop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adr/" TargetMode="External" /><Relationship Type="http://schemas.openxmlformats.org/officeDocument/2006/relationships/hyperlink" Id="rId11" Target="architecture.md" TargetMode="External" /><Relationship Type="http://schemas.openxmlformats.org/officeDocument/2006/relationships/hyperlink" Id="rId20" Target="architecture.md#1-introduction-and-goals" TargetMode="External" /><Relationship Type="http://schemas.openxmlformats.org/officeDocument/2006/relationships/hyperlink" Id="rId16" Target="decision-log.md" TargetMode="External" /><Relationship Type="http://schemas.openxmlformats.org/officeDocument/2006/relationships/hyperlink" Id="rId25" Target="dist/" TargetMode="External" /><Relationship Type="http://schemas.openxmlformats.org/officeDocument/2006/relationships/hyperlink" Id="rId28" Target="https://adr.github.io/madr/" TargetMode="External" /><Relationship Type="http://schemas.openxmlformats.org/officeDocument/2006/relationships/hyperlink" Id="rId27" Target="https://mermaid.js.org" TargetMode="External" /><Relationship Type="http://schemas.openxmlformats.org/officeDocument/2006/relationships/hyperlink" Id="rId24" Target="https://pandoc.org" TargetMode="External" /><Relationship Type="http://schemas.openxmlformats.org/officeDocument/2006/relationships/hyperlink" Id="rId15" Target="risk-register.md" TargetMode="External" /><Relationship Type="http://schemas.openxmlformats.org/officeDocument/2006/relationships/hyperlink" Id="rId14" Target="sdp.md" TargetMode="External" /><Relationship Type="http://schemas.openxmlformats.org/officeDocument/2006/relationships/hyperlink" Id="rId18" Target="spikes/" TargetMode="External" /><Relationship Type="http://schemas.openxmlformats.org/officeDocument/2006/relationships/hyperlink" Id="rId21" Target="spikes/2026-09-07-model-selection.md" TargetMode="External" /><Relationship Type="http://schemas.openxmlformats.org/officeDocument/2006/relationships/hyperlink" Id="rId10" Target="srs.md" TargetMode="External" /><Relationship Type="http://schemas.openxmlformats.org/officeDocument/2006/relationships/hyperlink" Id="rId12" Target="test-plan.md" TargetMode="External" /><Relationship Type="http://schemas.openxmlformats.org/officeDocument/2006/relationships/hyperlink" Id="rId13" Target="threat-model.md" TargetMode="External" /><Relationship Type="http://schemas.openxmlformats.org/officeDocument/2006/relationships/hyperlink" Id="rId9" Target="vision-and-scop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2026-09-08T05:06:43Z</dcterms:created>
  <dcterms:modified xsi:type="dcterms:W3CDTF">2026-09-08T05:06:43Z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