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50.png" ContentType="image/png"/>
  <Override PartName="/word/media/rId55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2" w:name="software-architecture-document"/>
    <w:p>
      <w:pPr>
        <w:pStyle w:val="Heading1"/>
      </w:pPr>
      <w:r>
        <w:t xml:space="preserve">Software Architecture Document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NOVA-SAD-001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arc42 v9, C4 model, ISO/IEC/IEEE 42010:2022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a20379e9019ceb98783f31ab06966f2b6a19af7"/>
    <w:p>
      <w:pPr>
        <w:pStyle w:val="Heading2"/>
      </w:pPr>
      <w:r>
        <w:t xml:space="preserve">1. Introduction and goals</w:t>
      </w:r>
    </w:p>
    <w:p>
      <w:pPr>
        <w:pStyle w:val="FirstParagraph"/>
      </w:pPr>
      <w:r>
        <w:t xml:space="preserve">NOVA converts a natural-language software requirement into a structured test plan, and retains the</w:t>
      </w:r>
      <w:r>
        <w:t xml:space="preserve"> </w:t>
      </w:r>
      <w:r>
        <w:t xml:space="preserve">user's corrections as durable memory so that later work does not repeat the same errors.</w:t>
      </w:r>
    </w:p>
    <w:p>
      <w:pPr>
        <w:pStyle w:val="BodyText"/>
      </w:pPr>
      <w:r>
        <w:t xml:space="preserve">Generation is not the architecturally interesting part. The design problem is the loop around it:</w:t>
      </w:r>
    </w:p>
    <w:p>
      <w:pPr>
        <w:pStyle w:val="Compact"/>
        <w:numPr>
          <w:ilvl w:val="0"/>
          <w:numId w:val="1001"/>
        </w:numPr>
      </w:pPr>
      <w:r>
        <w:t xml:space="preserve">Converting a freeform correction into a durable, retrievable rule without creating a persistent</w:t>
      </w:r>
      <w:r>
        <w:t xml:space="preserve"> </w:t>
      </w:r>
      <w:r>
        <w:t xml:space="preserve">prompt-injection vector.</w:t>
      </w:r>
    </w:p>
    <w:p>
      <w:pPr>
        <w:pStyle w:val="Compact"/>
        <w:numPr>
          <w:ilvl w:val="0"/>
          <w:numId w:val="1001"/>
        </w:numPr>
      </w:pPr>
      <w:r>
        <w:t xml:space="preserve">Retrieving the right rules without an ever-growing prompt that degrades silently.</w:t>
      </w:r>
    </w:p>
    <w:p>
      <w:pPr>
        <w:pStyle w:val="Compact"/>
        <w:numPr>
          <w:ilvl w:val="0"/>
          <w:numId w:val="1001"/>
        </w:numPr>
      </w:pPr>
      <w:r>
        <w:t xml:space="preserve">Establishing whether any of it works.</w:t>
      </w:r>
    </w:p>
    <w:bookmarkStart w:id="10" w:name="X8edcbb295ce4650fedef8833277817cff9a3417"/>
    <w:p>
      <w:pPr>
        <w:pStyle w:val="Heading3"/>
      </w:pPr>
      <w:r>
        <w:t xml:space="preserve">1.1 Requirements overview</w:t>
      </w:r>
    </w:p>
    <w:p>
      <w:pPr>
        <w:pStyle w:val="FirstParagraph"/>
      </w:pPr>
      <w:r>
        <w:t xml:space="preserve">The authoritative requirement set is</w:t>
      </w:r>
      <w:r>
        <w:t xml:space="preserve"> </w:t>
      </w:r>
      <w:hyperlink r:id="rId9">
        <w:r>
          <w:rPr>
            <w:rStyle w:val="Hyperlink"/>
          </w:rPr>
          <w:t xml:space="preserve">NOVA-SRS-001</w:t>
        </w:r>
      </w:hyperlink>
      <w:r>
        <w:t xml:space="preserve">. The architecturally significant subset: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Architectural 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Schema-conformant generation via constrained decoding</w:t>
            </w:r>
          </w:p>
        </w:tc>
        <w:tc>
          <w:tcPr/>
          <w:p>
            <w:pPr>
              <w:pStyle w:val="Compact"/>
            </w:pPr>
            <w:r>
              <w:t xml:space="preserve">Schema is a first-class shared artifact, not a post-hoc validator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Scored retrieval with scores exposed</w:t>
            </w:r>
          </w:p>
        </w:tc>
        <w:tc>
          <w:tcPr/>
          <w:p>
            <w:pPr>
              <w:pStyle w:val="Compact"/>
            </w:pPr>
            <w:r>
              <w:t xml:space="preserve">Retrieval must be explainable, not merely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No memory stored without explicit confirmation</w:t>
            </w:r>
          </w:p>
        </w:tc>
        <w:tc>
          <w:tcPr/>
          <w:p>
            <w:pPr>
              <w:pStyle w:val="Compact"/>
            </w:pPr>
            <w:r>
              <w:t xml:space="preserve">A human gate sits on the highest-risk write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Complete execution trace, including on failure</w:t>
            </w:r>
          </w:p>
        </w:tc>
        <w:tc>
          <w:tcPr/>
          <w:p>
            <w:pPr>
              <w:pStyle w:val="Compact"/>
            </w:pPr>
            <w:r>
              <w:t xml:space="preserve">Tracing is a structural concern, written incrementally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Configuration activation requires a passing evaluation</w:t>
            </w:r>
          </w:p>
        </w:tc>
        <w:tc>
          <w:tcPr/>
          <w:p>
            <w:pPr>
              <w:pStyle w:val="Compact"/>
            </w:pPr>
            <w:r>
              <w:t xml:space="preserve">Enforced as a data-layer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Tenant scoping applied at the data access layer</w:t>
            </w:r>
          </w:p>
        </w:tc>
        <w:tc>
          <w:tcPr/>
          <w:p>
            <w:pPr>
              <w:pStyle w:val="Compact"/>
            </w:pPr>
            <w:r>
              <w:t xml:space="preserve">Isolation is structural, not a per-caller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model has no file, command, or network capability</w:t>
            </w:r>
          </w:p>
        </w:tc>
        <w:tc>
          <w:tcPr/>
          <w:p>
            <w:pPr>
              <w:pStyle w:val="Compact"/>
            </w:pPr>
            <w:r>
              <w:t xml:space="preserve">The absence of a tool surface is a designed property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Task duration measured in tens of seconds</w:t>
            </w:r>
          </w:p>
        </w:tc>
        <w:tc>
          <w:tcPr/>
          <w:p>
            <w:pPr>
              <w:pStyle w:val="Compact"/>
            </w:pPr>
            <w:r>
              <w:t xml:space="preserve">Execution is asynchronous and durable</w:t>
            </w:r>
          </w:p>
        </w:tc>
      </w:tr>
    </w:tbl>
    <w:bookmarkEnd w:id="10"/>
    <w:bookmarkStart w:id="11" w:name="X0b5d37a5464d925129d3b75f0c233a338af128e"/>
    <w:p>
      <w:pPr>
        <w:pStyle w:val="Heading3"/>
      </w:pPr>
      <w:r>
        <w:t xml:space="preserve">1.2 Quality goals</w:t>
      </w:r>
    </w:p>
    <w:p>
      <w:pPr>
        <w:pStyle w:val="FirstParagraph"/>
      </w:pPr>
      <w:r>
        <w:t xml:space="preserve">Ordered. Where two conflict, the higher-ranked prevails.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Motivation</w:t>
            </w:r>
          </w:p>
        </w:tc>
        <w:tc>
          <w:tcPr/>
          <w:p>
            <w:pPr>
              <w:pStyle w:val="Compact"/>
            </w:pPr>
            <w:r>
              <w:t xml:space="preserve">Scenario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A confirmed memory is replayed into every future prompt that retrieves it. Compromise is persistent, not transient</w:t>
            </w:r>
          </w:p>
        </w:tc>
        <w:tc>
          <w:tcPr/>
          <w:p>
            <w:pPr>
              <w:pStyle w:val="Compact"/>
            </w:pPr>
            <w:r>
              <w:t xml:space="preserve">QS-1, QS-2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The value of the system depends on being able to show why an output was produced, and on separating retrieval failure from generation failure</w:t>
            </w:r>
          </w:p>
        </w:tc>
        <w:tc>
          <w:tcPr/>
          <w:p>
            <w:pPr>
              <w:pStyle w:val="Compact"/>
            </w:pPr>
            <w:r>
              <w:t xml:space="preserve">QS-3, QS-4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Improvement claims are only meaningful if they are measurable and gated</w:t>
            </w:r>
          </w:p>
        </w:tc>
        <w:tc>
          <w:tcPr/>
          <w:p>
            <w:pPr>
              <w:pStyle w:val="Compact"/>
            </w:pPr>
            <w:r>
              <w:t xml:space="preserve">QS-5, QS-6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Requirements and test data must not leave the host in the default configuration</w:t>
            </w:r>
          </w:p>
        </w:tc>
        <w:tc>
          <w:tcPr/>
          <w:p>
            <w:pPr>
              <w:pStyle w:val="Compact"/>
            </w:pPr>
            <w:r>
              <w:t xml:space="preserve">QS-7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A task must not vanish, hang, or lose its trace on failure</w:t>
            </w:r>
          </w:p>
        </w:tc>
        <w:tc>
          <w:tcPr/>
          <w:p>
            <w:pPr>
              <w:pStyle w:val="Compact"/>
            </w:pPr>
            <w:r>
              <w:t xml:space="preserve">QS-8, QS-9</w:t>
            </w:r>
          </w:p>
        </w:tc>
      </w:tr>
    </w:tbl>
    <w:p>
      <w:pPr>
        <w:pStyle w:val="BodyText"/>
      </w:pPr>
      <w:r>
        <w:t xml:space="preserve">Performance is deliberately absent from this list. Measurement established substantial headroom</w:t>
      </w:r>
      <w:r>
        <w:t xml:space="preserve"> </w:t>
      </w:r>
      <w:r>
        <w:t xml:space="preserve">against the stated target, so it does not currently constrain design.</w:t>
      </w:r>
    </w:p>
    <w:bookmarkEnd w:id="11"/>
    <w:bookmarkStart w:id="12" w:name="X6f11df0a6b819befb79a0525ddd83bcc6c97bf2"/>
    <w:p>
      <w:pPr>
        <w:pStyle w:val="Heading3"/>
      </w:pPr>
      <w:r>
        <w:t xml:space="preserve">1.3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Consumed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Buildability, decision rationale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Engineering judgment, measurement rigour</w:t>
            </w:r>
          </w:p>
        </w:tc>
        <w:tc>
          <w:tcPr/>
          <w:p>
            <w:pPr>
              <w:pStyle w:val="Compact"/>
            </w:pPr>
            <w:r>
              <w:t xml:space="preserve">4, 8, 9, 10, 11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Deployment, failure diagnosis</w:t>
            </w:r>
          </w:p>
        </w:tc>
        <w:tc>
          <w:tcPr/>
          <w:p>
            <w:pPr>
              <w:pStyle w:val="Compact"/>
            </w:pPr>
            <w:r>
              <w:t xml:space="preserve">7, 8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Explainability of output</w:t>
            </w:r>
          </w:p>
        </w:tc>
        <w:tc>
          <w:tcPr/>
          <w:p>
            <w:pPr>
              <w:pStyle w:val="Compact"/>
            </w:pPr>
            <w:r>
              <w:t xml:space="preserve">6, 8</w:t>
            </w:r>
          </w:p>
        </w:tc>
      </w:tr>
    </w:tbl>
    <w:bookmarkEnd w:id="12"/>
    <w:bookmarkEnd w:id="13"/>
    <w:bookmarkStart w:id="14" w:name="Xb18abfed9c8c65dfa435cdcf19ba4257a643b49"/>
    <w:p>
      <w:pPr>
        <w:pStyle w:val="Heading2"/>
      </w:pPr>
      <w:r>
        <w:t xml:space="preserve">2. Architecture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One datastore, no framework, no infrastructure that is not load-bearing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within a 6 GB VRAM budget</w:t>
            </w:r>
          </w:p>
        </w:tc>
        <w:tc>
          <w:tcPr/>
          <w:p>
            <w:pPr>
              <w:pStyle w:val="Compact"/>
            </w:pPr>
            <w:r>
              <w:t xml:space="preserve">Structured-output reliability becomes a primary engineering problem. Model class is 4B parameters, not 8 to 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artifact. Inference runs on the host, not in a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committable. Privacy controls are designed and tested rather than compliance-bound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All adaptation occurs through retrieval and configuration, not weights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migration; authentication deferred</w:t>
            </w:r>
          </w:p>
        </w:tc>
      </w:tr>
    </w:tbl>
    <w:bookmarkEnd w:id="14"/>
    <w:bookmarkStart w:id="20" w:name="X7715a6c1b808e803917b29035a9e3feef9b15df"/>
    <w:p>
      <w:pPr>
        <w:pStyle w:val="Heading2"/>
      </w:pPr>
      <w:r>
        <w:t xml:space="preserve">3. Context and scope</w:t>
      </w:r>
    </w:p>
    <w:bookmarkStart w:id="18" w:name="X018f1860ab928ce284be5e1fc906a05a4b3688c"/>
    <w:p>
      <w:pPr>
        <w:pStyle w:val="Heading3"/>
      </w:pPr>
      <w:r>
        <w:t xml:space="preserve">3.1 Business context (C4 level 1)</w:t>
      </w:r>
    </w:p>
    <w:p>
      <w:pPr>
        <w:pStyle w:val="FirstParagraph"/>
      </w:pPr>
      <w:r>
        <w:drawing>
          <wp:inline>
            <wp:extent cx="5943600" cy="744471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/Users/laxmi/AppData/Local/Temp/nova-docs-29bc2e55/architecture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4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External entity</w:t>
            </w:r>
          </w:p>
        </w:tc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engineer</w:t>
            </w:r>
          </w:p>
        </w:tc>
        <w:tc>
          <w:tcPr/>
          <w:p>
            <w:pPr>
              <w:pStyle w:val="Compact"/>
            </w:pPr>
            <w:r>
              <w:t xml:space="preserve">Browser, HTTP</w:t>
            </w:r>
          </w:p>
        </w:tc>
        <w:tc>
          <w:tcPr/>
          <w:p>
            <w:pPr>
              <w:pStyle w:val="Compact"/>
            </w:pPr>
            <w:r>
              <w:t xml:space="preserve">The only human actor. No administrative role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</w:t>
            </w:r>
          </w:p>
        </w:tc>
        <w:tc>
          <w:tcPr/>
          <w:p>
            <w:pPr>
              <w:pStyle w:val="Compact"/>
            </w:pPr>
            <w:r>
              <w:t xml:space="preserve">HTTP on the host loopback interface</w:t>
            </w:r>
          </w:p>
        </w:tc>
        <w:tc>
          <w:tcPr/>
          <w:p>
            <w:pPr>
              <w:pStyle w:val="Compact"/>
            </w:pPr>
            <w:r>
              <w:t xml:space="preserve">Supplies a JSON Schema per request; returns a conformant completion plus token and timing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inference provider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Optional. Selecting it is the only path by which data leaves the host, and it requires an explicit user action</w:t>
            </w:r>
          </w:p>
        </w:tc>
      </w:tr>
    </w:tbl>
    <w:bookmarkEnd w:id="18"/>
    <w:bookmarkStart w:id="19" w:name="X709a6fb9880420086c3a222ab7f5052a04d0a67"/>
    <w:p>
      <w:pPr>
        <w:pStyle w:val="Heading3"/>
      </w:pPr>
      <w:r>
        <w:t xml:space="preserve">3.2 Technical context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to API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Requirements, feedback, memory operations</w:t>
            </w:r>
          </w:p>
        </w:tc>
        <w:tc>
          <w:tcPr/>
          <w:p>
            <w:pPr>
              <w:pStyle w:val="Compact"/>
            </w:pPr>
            <w:r>
              <w:t xml:space="preserve">Untrusted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datastore</w:t>
            </w:r>
          </w:p>
        </w:tc>
        <w:tc>
          <w:tcPr/>
          <w:p>
            <w:pPr>
              <w:pStyle w:val="Compact"/>
            </w:pPr>
            <w:r>
              <w:t xml:space="preserve">PostgreSQL wire protocol</w:t>
            </w:r>
          </w:p>
        </w:tc>
        <w:tc>
          <w:tcPr/>
          <w:p>
            <w:pPr>
              <w:pStyle w:val="Compact"/>
            </w:pPr>
            <w:r>
              <w:t xml:space="preserve">All persistent state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 with JSON Schema</w:t>
            </w:r>
          </w:p>
        </w:tc>
        <w:tc>
          <w:tcPr/>
          <w:p>
            <w:pPr>
              <w:pStyle w:val="Compact"/>
            </w:pPr>
            <w:r>
              <w:t xml:space="preserve">Prompts and completions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Extraction and embedding requests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</w:tbl>
    <w:p>
      <w:pPr>
        <w:pStyle w:val="BodyText"/>
      </w:pPr>
      <w:r>
        <w:t xml:space="preserve">Services bind to the loopback interface. The system has no inbound network surface beyond the host.</w:t>
      </w:r>
    </w:p>
    <w:bookmarkEnd w:id="19"/>
    <w:bookmarkEnd w:id="20"/>
    <w:bookmarkStart w:id="25" w:name="Xf89e8e549a8f55d6c63cc4885fc1e8899ee72c4"/>
    <w:p>
      <w:pPr>
        <w:pStyle w:val="Heading2"/>
      </w:pPr>
      <w:r>
        <w:t xml:space="preserve">4. Solution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Two independent controls in series: a mechanical validation screen, then mandatory human confirmation. Combined with a total absence of tool capability for the model</w:t>
            </w:r>
          </w:p>
        </w:tc>
        <w:tc>
          <w:tcPr/>
          <w:p>
            <w:pPr>
              <w:pStyle w:val="Compact"/>
            </w:pPr>
            <w:r>
              <w:t xml:space="preserve">A screen against an open-ended attack surface will miss cases. A successful injection can produce a poor test case but cannot take an action, because no action exists. See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ADR-0004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Trace steps written incrementally, including retrieval scores for candidates that were evaluated and rejected</w:t>
            </w:r>
          </w:p>
        </w:tc>
        <w:tc>
          <w:tcPr/>
          <w:p>
            <w:pPr>
              <w:pStyle w:val="Compact"/>
            </w:pPr>
            <w:r>
              <w:t xml:space="preserve">A trace persisted only on success is useless, because failure is when it is needed. Scores for non-selected candidates are what separate retrieval failure from generation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residual. Evaluation dataset versioned by content hash. Configuration activation blocked at the data layer without a passing run</w:t>
            </w:r>
          </w:p>
        </w:tc>
        <w:tc>
          <w:tcPr/>
          <w:p>
            <w:pPr>
              <w:pStyle w:val="Compact"/>
            </w:pPr>
            <w:r>
              <w:t xml:space="preserve">Model-based evaluation makes every metric dependent on a component whose reliability must itself be established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Local inference by default. Provider changes require explicit user action. Logs carry identifiers and digests, never content</w:t>
            </w:r>
          </w:p>
        </w:tc>
        <w:tc>
          <w:tcPr/>
          <w:p>
            <w:pPr>
              <w:pStyle w:val="Compact"/>
            </w:pPr>
            <w:r>
              <w:t xml:space="preserve">Automatic provider substitution would silently change where data goes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Durable job records claimed under row-level locks with lease expiry. Every retry bounded with a defined terminal state</w:t>
            </w:r>
          </w:p>
        </w:tc>
        <w:tc>
          <w:tcPr/>
          <w:p>
            <w:pPr>
              <w:pStyle w:val="Compact"/>
            </w:pPr>
            <w:r>
              <w:t xml:space="preserve">An agent that retries without bound consumes a GPU and presents as a hang</w:t>
            </w:r>
          </w:p>
        </w:tc>
      </w:tr>
    </w:tbl>
    <w:p>
      <w:pPr>
        <w:pStyle w:val="BodyText"/>
      </w:pPr>
      <w:r>
        <w:t xml:space="preserve">Technology selection follows from the constraints rather than preference: a single datastore holding</w:t>
      </w:r>
      <w:r>
        <w:t xml:space="preserve"> </w:t>
      </w:r>
      <w:r>
        <w:t xml:space="preserve">both relational and vector data (</w:t>
      </w:r>
      <w:hyperlink r:id="rId22">
        <w:r>
          <w:rPr>
            <w:rStyle w:val="Hyperlink"/>
          </w:rPr>
          <w:t xml:space="preserve">ADR-0001</w:t>
        </w:r>
      </w:hyperlink>
      <w:r>
        <w:t xml:space="preserve">), a job</w:t>
      </w:r>
      <w:r>
        <w:t xml:space="preserve"> </w:t>
      </w:r>
      <w:r>
        <w:t xml:space="preserve">table rather than a broker (</w:t>
      </w:r>
      <w:hyperlink r:id="rId23">
        <w:r>
          <w:rPr>
            <w:rStyle w:val="Hyperlink"/>
          </w:rPr>
          <w:t xml:space="preserve">ADR-0002</w:t>
        </w:r>
      </w:hyperlink>
      <w:r>
        <w:t xml:space="preserve">), and no</w:t>
      </w:r>
      <w:r>
        <w:t xml:space="preserve"> </w:t>
      </w:r>
      <w:r>
        <w:t xml:space="preserve">agent framework (</w:t>
      </w:r>
      <w:hyperlink r:id="rId24">
        <w:r>
          <w:rPr>
            <w:rStyle w:val="Hyperlink"/>
          </w:rPr>
          <w:t xml:space="preserve">ADR-0003</w:t>
        </w:r>
      </w:hyperlink>
      <w:r>
        <w:t xml:space="preserve">).</w:t>
      </w:r>
    </w:p>
    <w:bookmarkEnd w:id="25"/>
    <w:bookmarkStart w:id="35" w:name="X3a7b93a7719adb2ae87ca9b438890c928e9d9a5"/>
    <w:p>
      <w:pPr>
        <w:pStyle w:val="Heading2"/>
      </w:pPr>
      <w:r>
        <w:t xml:space="preserve">5. Building block view</w:t>
      </w:r>
    </w:p>
    <w:bookmarkStart w:id="29" w:name="Xa7a36caa58ff501cfc8817305ad7dcbaa75072c"/>
    <w:p>
      <w:pPr>
        <w:pStyle w:val="Heading3"/>
      </w:pPr>
      <w:r>
        <w:t xml:space="preserve">5.1 Level 1: containers (C4 level 2)</w:t>
      </w:r>
    </w:p>
    <w:p>
      <w:pPr>
        <w:pStyle w:val="FirstParagraph"/>
      </w:pPr>
      <w:r>
        <w:drawing>
          <wp:inline>
            <wp:extent cx="5943600" cy="485719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Users/laxmi/AppData/Local/Temp/nova-docs-29bc2e55/architecture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57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49f24549ee2b49044a89df6eef83428b57c138b"/>
    <w:p>
      <w:pPr>
        <w:pStyle w:val="Heading3"/>
      </w:pPr>
      <w:r>
        <w:t xml:space="preserve">5.2 Level 2: API service and worker components</w:t>
      </w:r>
    </w:p>
    <w:p>
      <w:pPr>
        <w:pStyle w:val="FirstParagraph"/>
      </w:pPr>
      <w:r>
        <w:drawing>
          <wp:inline>
            <wp:extent cx="5943600" cy="258958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Users/laxmi/AppData/Local/Temp/nova-docs-29bc2e55/architecture-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Xd9316b40035354649de94301aae0094ce260b57"/>
    <w:p>
      <w:pPr>
        <w:pStyle w:val="Heading3"/>
      </w:pPr>
      <w:r>
        <w:t xml:space="preserve">5.3 Component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Principal failure mode and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Submission, results with per-case actions, trace viewer, memory manager, evaluation results</w:t>
            </w:r>
          </w:p>
        </w:tc>
        <w:tc>
          <w:tcPr/>
          <w:p>
            <w:pPr>
              <w:pStyle w:val="Compact"/>
            </w:pPr>
            <w:r>
              <w:t xml:space="preserve">API unreachable, long task appearing stalled, large trace rendering slowly. Explicit error states, polling backoff, trace pagination. Renders untrusted content, so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handlers</w:t>
            </w:r>
          </w:p>
        </w:tc>
        <w:tc>
          <w:tcPr/>
          <w:p>
            <w:pPr>
              <w:pStyle w:val="Compact"/>
            </w:pPr>
            <w:r>
              <w:t xml:space="preserve">Validation, server-side tenant resolution, job enqueue</w:t>
            </w:r>
          </w:p>
        </w:tc>
        <w:tc>
          <w:tcPr/>
          <w:p>
            <w:pPr>
              <w:pStyle w:val="Compact"/>
            </w:pPr>
            <w:r>
              <w:t xml:space="preserve">Validation failure returns a structured error. Datastore failure returns 503 with no partial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</w:pPr>
            <w:r>
              <w:t xml:space="preserve">All data access, tenant-scoped by construction</w:t>
            </w:r>
          </w:p>
        </w:tc>
        <w:tc>
          <w:tcPr/>
          <w:p>
            <w:pPr>
              <w:pStyle w:val="Compact"/>
            </w:pPr>
            <w:r>
              <w:t xml:space="preserve">A query path that omits tenant scoping is prevented structurally rather than by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processor</w:t>
            </w:r>
          </w:p>
        </w:tc>
        <w:tc>
          <w:tcPr/>
          <w:p>
            <w:pPr>
              <w:pStyle w:val="Compact"/>
            </w:pPr>
            <w:r>
              <w:t xml:space="preserve">Normalization, candidate extraction, score update</w:t>
            </w:r>
          </w:p>
        </w:tc>
        <w:tc>
          <w:tcPr/>
          <w:p>
            <w:pPr>
              <w:pStyle w:val="Compact"/>
            </w:pPr>
            <w:r>
              <w:t xml:space="preserve">Extraction failure retains the raw correction rather than discarding it. Highest-risk path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Task lifecycle: select, retrieve, generate, check, review, persist</w:t>
            </w:r>
          </w:p>
        </w:tc>
        <w:tc>
          <w:tcPr/>
          <w:p>
            <w:pPr>
              <w:pStyle w:val="Compact"/>
            </w:pPr>
            <w:r>
              <w:t xml:space="preserve">Any step failure records the failing step by name and persists the trace to that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 selector</w:t>
            </w:r>
          </w:p>
        </w:tc>
        <w:tc>
          <w:tcPr/>
          <w:p>
            <w:pPr>
              <w:pStyle w:val="Compact"/>
            </w:pPr>
            <w:r>
              <w:t xml:space="preserve">Outcome-scored choice with bounded exploration</w:t>
            </w:r>
          </w:p>
        </w:tc>
        <w:tc>
          <w:tcPr/>
          <w:p>
            <w:pPr>
              <w:pStyle w:val="Compact"/>
            </w:pPr>
            <w:r>
              <w:t xml:space="preserve">Cold start falls back to a static mapping. Bounded step size and clamping prevent a single event from changing the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retriever</w:t>
            </w:r>
          </w:p>
        </w:tc>
        <w:tc>
          <w:tcPr/>
          <w:p>
            <w:pPr>
              <w:pStyle w:val="Compact"/>
            </w:pPr>
            <w:r>
              <w:t xml:space="preserve">Ranked retrieval with explainable component scores</w:t>
            </w:r>
          </w:p>
        </w:tc>
        <w:tc>
          <w:tcPr/>
          <w:p>
            <w:pPr>
              <w:pStyle w:val="Compact"/>
            </w:pPr>
            <w:r>
              <w:t xml:space="preserve">Embedding failure fails the task explicitly. A silent empty retrieval is the worst available outcome, because the system continues to appear healthy while no longer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Schema-conformant plan production</w:t>
            </w:r>
          </w:p>
        </w:tc>
        <w:tc>
          <w:tcPr/>
          <w:p>
            <w:pPr>
              <w:pStyle w:val="Compact"/>
            </w:pPr>
            <w:r>
              <w:t xml:space="preserve">Bounded repair retry with every attempt counted. Context pressure reduces retrieved memory before requirement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Deterministic checks, then bounded model review</w:t>
            </w:r>
          </w:p>
        </w:tc>
        <w:tc>
          <w:tcPr/>
          <w:p>
            <w:pPr>
              <w:pStyle w:val="Compact"/>
            </w:pPr>
            <w:r>
              <w:t xml:space="preserve">The model review stage is optional by design. Deterministic verdicts return regardless, flagged partial. The pre-review plan is retained so any regression is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Three operations over two provider implementations</w:t>
            </w:r>
          </w:p>
        </w:tc>
        <w:tc>
          <w:tcPr/>
          <w:p>
            <w:pPr>
              <w:pStyle w:val="Compact"/>
            </w:pPr>
            <w:r>
              <w:t xml:space="preserve">Startup health check returns an actionable message. No silent provider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store and worker loop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Lease expiry permits reclamation after worker termination. Bounded attempts, then terminal failure. Partial trace always retained</w:t>
            </w:r>
          </w:p>
        </w:tc>
      </w:tr>
    </w:tbl>
    <w:p>
      <w:pPr>
        <w:pStyle w:val="BodyText"/>
      </w:pPr>
      <w:r>
        <w:t xml:space="preserve">The gateway exposes three operations, not a general abstraction layer. Anything wider would be</w:t>
      </w:r>
      <w:r>
        <w:t xml:space="preserve"> </w:t>
      </w:r>
      <w:r>
        <w:t xml:space="preserve">speculative.</w:t>
      </w:r>
    </w:p>
    <w:bookmarkEnd w:id="34"/>
    <w:bookmarkEnd w:id="35"/>
    <w:bookmarkStart w:id="49" w:name="X4bd52352356fde8f90c69ae5b7572b083ee7e7c"/>
    <w:p>
      <w:pPr>
        <w:pStyle w:val="Heading2"/>
      </w:pPr>
      <w:r>
        <w:t xml:space="preserve">6. Runtime view</w:t>
      </w:r>
    </w:p>
    <w:bookmarkStart w:id="39" w:name="X63d67a9dc3761730f78f36f8d7c5067f81d53dc"/>
    <w:p>
      <w:pPr>
        <w:pStyle w:val="Heading3"/>
      </w:pPr>
      <w:r>
        <w:t xml:space="preserve">6.1 Nominal task execution</w:t>
      </w:r>
    </w:p>
    <w:p>
      <w:pPr>
        <w:pStyle w:val="FirstParagraph"/>
      </w:pPr>
      <w:r>
        <w:drawing>
          <wp:inline>
            <wp:extent cx="5943600" cy="393806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:/Users/laxmi/AppData/Local/Temp/nova-docs-29bc2e55/architecture-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Xd2f17975806a21cb554e5d432fb527a8691dbb4"/>
    <w:p>
      <w:pPr>
        <w:pStyle w:val="Heading3"/>
      </w:pPr>
      <w:r>
        <w:t xml:space="preserve">6.2 Correction to durable memory</w:t>
      </w:r>
    </w:p>
    <w:p>
      <w:pPr>
        <w:pStyle w:val="FirstParagraph"/>
      </w:pPr>
      <w:r>
        <w:drawing>
          <wp:inline>
            <wp:extent cx="5943600" cy="349573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:/Users/laxmi/AppData/Local/Temp/nova-docs-29bc2e55/architecture-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5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X57e362db30c3a632a5a51692c3fc41d2a27b535"/>
    <w:p>
      <w:pPr>
        <w:pStyle w:val="Heading3"/>
      </w:pPr>
      <w:r>
        <w:t xml:space="preserve">6.3 Worker termination and recovery</w:t>
      </w:r>
    </w:p>
    <w:p>
      <w:pPr>
        <w:pStyle w:val="FirstParagraph"/>
      </w:pPr>
      <w:r>
        <w:drawing>
          <wp:inline>
            <wp:extent cx="5943600" cy="4410666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:/Users/laxmi/AppData/Local/Temp/nova-docs-29bc2e55/architecture-6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5d7830c4ba87b8950b0e388b91908a3b12fcdc5"/>
    <w:p>
      <w:pPr>
        <w:pStyle w:val="Heading3"/>
      </w:pPr>
      <w:r>
        <w:t xml:space="preserve">6.4 Synchronous and asynchronous boundaries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submission</w:t>
            </w:r>
          </w:p>
        </w:tc>
        <w:tc>
          <w:tcPr/>
          <w:p>
            <w:pPr>
              <w:pStyle w:val="Compact"/>
            </w:pPr>
            <w:r>
              <w:t xml:space="preserve">Synchronous, returns identifier</w:t>
            </w:r>
          </w:p>
        </w:tc>
        <w:tc>
          <w:tcPr/>
          <w:p>
            <w:pPr>
              <w:pStyle w:val="Compact"/>
            </w:pPr>
            <w:r>
              <w:t xml:space="preserve">Execution takes tens of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execution</w:t>
            </w:r>
          </w:p>
        </w:tc>
        <w:tc>
          <w:tcPr/>
          <w:p>
            <w:pPr>
              <w:pStyle w:val="Compact"/>
            </w:pPr>
            <w:r>
              <w:t xml:space="preserve">Asynchronous worker</w:t>
            </w:r>
          </w:p>
        </w:tc>
        <w:tc>
          <w:tcPr/>
          <w:p>
            <w:pPr>
              <w:pStyle w:val="Compact"/>
            </w:pPr>
            <w:r>
              <w:t xml:space="preserve">Durability and observable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and result retrieval</w:t>
            </w:r>
          </w:p>
        </w:tc>
        <w:tc>
          <w:tcPr/>
          <w:p>
            <w:pPr>
              <w:pStyle w:val="Compact"/>
            </w:pPr>
            <w:r>
              <w:t xml:space="preserve">Synchronous polling</w:t>
            </w:r>
          </w:p>
        </w:tc>
        <w:tc>
          <w:tcPr/>
          <w:p>
            <w:pPr>
              <w:pStyle w:val="Compact"/>
            </w:pPr>
            <w:r>
              <w:t xml:space="preserve">Server-sent events only if polling proves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submission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Write-only,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extraction</w:t>
            </w:r>
          </w:p>
        </w:tc>
        <w:tc>
          <w:tcPr/>
          <w:p>
            <w:pPr>
              <w:pStyle w:val="Compact"/>
            </w:pPr>
            <w:r>
              <w:t xml:space="preserve">Synchronous, within the feedback request</w:t>
            </w:r>
          </w:p>
        </w:tc>
        <w:tc>
          <w:tcPr/>
          <w:p>
            <w:pPr>
              <w:pStyle w:val="Compact"/>
            </w:pPr>
            <w:r>
              <w:t xml:space="preserve">A single short call, and the user is awaiting the candidate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on confirmation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Sub-second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runs</w:t>
            </w:r>
          </w:p>
        </w:tc>
        <w:tc>
          <w:tcPr/>
          <w:p>
            <w:pPr>
              <w:pStyle w:val="Compact"/>
            </w:pPr>
            <w:r>
              <w:t xml:space="preserve">Asynchronous, offline</w:t>
            </w:r>
          </w:p>
        </w:tc>
        <w:tc>
          <w:tcPr/>
          <w:p>
            <w:pPr>
              <w:pStyle w:val="Compact"/>
            </w:pPr>
            <w:r>
              <w:t xml:space="preserve">Minutes in duration. Never in a request path</w:t>
            </w:r>
          </w:p>
        </w:tc>
      </w:tr>
    </w:tbl>
    <w:bookmarkEnd w:id="48"/>
    <w:bookmarkEnd w:id="49"/>
    <w:bookmarkStart w:id="53" w:name="X8bd019142cf289fb6ec3c423b10ef40538825ab"/>
    <w:p>
      <w:pPr>
        <w:pStyle w:val="Heading2"/>
      </w:pPr>
      <w:r>
        <w:t xml:space="preserve">7. Deployment view</w:t>
      </w:r>
    </w:p>
    <w:p>
      <w:pPr>
        <w:pStyle w:val="FirstParagraph"/>
      </w:pPr>
      <w:r>
        <w:drawing>
          <wp:inline>
            <wp:extent cx="5943600" cy="548967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:/Users/laxmi/AppData/Local/Temp/nova-docs-29bc2e55/architecture-7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9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containers</w:t>
            </w:r>
          </w:p>
        </w:tc>
        <w:tc>
          <w:tcPr/>
          <w:p>
            <w:pPr>
              <w:pStyle w:val="Compact"/>
            </w:pPr>
            <w:r>
              <w:t xml:space="preserve">Reproducible startup from a clean checkout by a single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 container with a named volume</w:t>
            </w:r>
          </w:p>
        </w:tc>
        <w:tc>
          <w:tcPr/>
          <w:p>
            <w:pPr>
              <w:pStyle w:val="Compact"/>
            </w:pPr>
            <w:r>
              <w:t xml:space="preserve">State survives container replacement. Backup is a documented dump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on the host, not containerized</w:t>
            </w:r>
          </w:p>
        </w:tc>
        <w:tc>
          <w:tcPr/>
          <w:p>
            <w:pPr>
              <w:pStyle w:val="Compact"/>
            </w:pPr>
            <w:r>
              <w:t xml:space="preserve">GPU passthrough on this platform adds operational friction without benefit. The container-to-host path requires verification and documentation, and is the most likely first-run obstacle for anyone cloning the repository</w:t>
            </w:r>
          </w:p>
        </w:tc>
      </w:tr>
    </w:tbl>
    <w:bookmarkEnd w:id="53"/>
    <w:bookmarkStart w:id="67" w:name="Xe161720d8f173dc806f57bcf779f8cec5fd411d"/>
    <w:p>
      <w:pPr>
        <w:pStyle w:val="Heading2"/>
      </w:pPr>
      <w:r>
        <w:t xml:space="preserve">8. Crosscutting concepts</w:t>
      </w:r>
    </w:p>
    <w:bookmarkStart w:id="54" w:name="X78d6bf23f72e8c8b9b53bbe0f221220dce841ba"/>
    <w:p>
      <w:pPr>
        <w:pStyle w:val="Heading3"/>
      </w:pPr>
      <w:r>
        <w:t xml:space="preserve">8.1 Domain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execution of the requirement-to-plan workflow. The anchor for plan, trace, and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A summary and an ordered set of test cases, conforming to a versioned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correction, carrying provenance, scope, confidence, and lifecycle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 generation strategy: required case types, prompt fragment, check configuration. Versioned repository data, not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event</w:t>
            </w:r>
          </w:p>
        </w:tc>
        <w:tc>
          <w:tcPr/>
          <w:p>
            <w:pPr>
              <w:pStyle w:val="Compact"/>
            </w:pPr>
            <w:r>
              <w:t xml:space="preserve">An immutable record of one user judgment. The authoritative source from which scores are derived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 record of every step, model call, and score for one task</w:t>
            </w:r>
          </w:p>
        </w:tc>
      </w:tr>
    </w:tbl>
    <w:bookmarkEnd w:id="54"/>
    <w:bookmarkStart w:id="59" w:name="X54ab6905bea0077cc6b51fa8507759d330d7de3"/>
    <w:p>
      <w:pPr>
        <w:pStyle w:val="Heading3"/>
      </w:pPr>
      <w:r>
        <w:t xml:space="preserve">8.2 Trust boundaries and security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:/Users/laxmi/AppData/Local/Temp/nova-docs-29bc2e55/architecture-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Stored memory is a persistent injection vector. A single injected requirement affects one task. An</w:t>
      </w:r>
      <w:r>
        <w:t xml:space="preserve"> </w:t>
      </w:r>
      <w:r>
        <w:t xml:space="preserve">injection surviving extraction and confirmation is replayed into every subsequent prompt that</w:t>
      </w:r>
      <w:r>
        <w:t xml:space="preserve"> </w:t>
      </w:r>
      <w:r>
        <w:t xml:space="preserve">retrieves it, which is structurally equivalent to stored cross-site scripting.</w:t>
      </w:r>
    </w:p>
    <w:p>
      <w:pPr>
        <w:pStyle w:val="BodyText"/>
      </w:pPr>
      <w:r>
        <w:t xml:space="preserve">Seven layers apply, none relied upon alone: structural separation of untrusted content, constrained</w:t>
      </w:r>
      <w:r>
        <w:t xml:space="preserve"> </w:t>
      </w:r>
      <w:r>
        <w:t xml:space="preserve">decoding bounding the output shape, output validation, instruction-shape screening on candidates,</w:t>
      </w:r>
      <w:r>
        <w:t xml:space="preserve"> </w:t>
      </w:r>
      <w:r>
        <w:t xml:space="preserve">human confirmation, absence of any tool surface, and an adversarial regression suite. The sixth is</w:t>
      </w:r>
      <w:r>
        <w:t xml:space="preserve"> </w:t>
      </w:r>
      <w:r>
        <w:t xml:space="preserve">the strongest, and it derives from the architecture rather than from a filter.</w:t>
      </w:r>
    </w:p>
    <w:p>
      <w:pPr>
        <w:pStyle w:val="BodyText"/>
      </w:pPr>
      <w:r>
        <w:t xml:space="preserve">Full analysis in</w:t>
      </w:r>
      <w:r>
        <w:t xml:space="preserve"> </w:t>
      </w:r>
      <w:hyperlink r:id="rId58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59"/>
    <w:bookmarkStart w:id="60" w:name="X613afa6fb932031f616a7d7ddc82a7fff03f0d1"/>
    <w:p>
      <w:pPr>
        <w:pStyle w:val="Heading3"/>
      </w:pPr>
      <w:r>
        <w:t xml:space="preserve">8.3 The learning mechanism</w:t>
      </w:r>
    </w:p>
    <w:p>
      <w:pPr>
        <w:pStyle w:val="FirstParagraph"/>
      </w:pPr>
      <w:r>
        <w:t xml:space="preserve">Adaptation occurs at five levels. None involves model weights.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L0</w:t>
            </w:r>
          </w:p>
        </w:tc>
        <w:tc>
          <w:tcPr/>
          <w:p>
            <w:pPr>
              <w:pStyle w:val="Compact"/>
            </w:pPr>
            <w:r>
              <w:t xml:space="preserve">Working context, assembled per task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Episodic records of tasks, outputs, outcomes</w:t>
            </w:r>
          </w:p>
        </w:tc>
        <w:tc>
          <w:tcPr/>
          <w:p>
            <w:pPr>
              <w:pStyle w:val="Compact"/>
            </w:pPr>
            <w:r>
              <w:t xml:space="preserve">Database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Semantic rules extracted from corrections</w:t>
            </w:r>
          </w:p>
        </w:tc>
        <w:tc>
          <w:tcPr/>
          <w:p>
            <w:pPr>
              <w:pStyle w:val="Compact"/>
            </w:pPr>
            <w:r>
              <w:t xml:space="preserve">Database rows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Scored retrieval over those rules</w:t>
            </w:r>
          </w:p>
        </w:tc>
        <w:tc>
          <w:tcPr/>
          <w:p>
            <w:pPr>
              <w:pStyle w:val="Compact"/>
            </w:pPr>
            <w:r>
              <w:t xml:space="preserve">Query-time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Outcome-scored playbook selection</w:t>
            </w:r>
          </w:p>
        </w:tc>
        <w:tc>
          <w:tcPr/>
          <w:p>
            <w:pPr>
              <w:pStyle w:val="Compact"/>
            </w:pPr>
            <w:r>
              <w:t xml:space="preserve">Derived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Evaluation-gated configuration change</w:t>
            </w:r>
          </w:p>
        </w:tc>
        <w:tc>
          <w:tcPr/>
          <w:p>
            <w:pPr>
              <w:pStyle w:val="Compact"/>
            </w:pPr>
            <w:r>
              <w:t xml:space="preserve">Versioned records</w:t>
            </w:r>
          </w:p>
        </w:tc>
      </w:tr>
    </w:tbl>
    <w:p>
      <w:pPr>
        <w:pStyle w:val="BodyText"/>
      </w:pPr>
      <w:r>
        <w:rPr>
          <w:b/>
          <w:bCs/>
        </w:rPr>
        <w:t xml:space="preserve">Feedback normalization.</w:t>
      </w:r>
      <w:r>
        <w:t xml:space="preserve"> </w:t>
      </w:r>
      <w:r>
        <w:t xml:space="preserve">Events map to a bounded score in [-1, +1]: unedited acceptance</w:t>
      </w:r>
      <w:r>
        <w:t xml:space="preserve"> </w:t>
      </w:r>
      <w:r>
        <w:rPr>
          <w:rStyle w:val="VerbatimChar"/>
        </w:rPr>
        <w:t xml:space="preserve">+1.0</w:t>
      </w:r>
      <w:r>
        <w:t xml:space="preserve">,</w:t>
      </w:r>
      <w:r>
        <w:t xml:space="preserve"> </w:t>
      </w:r>
      <w:r>
        <w:t xml:space="preserve">minor edit</w:t>
      </w:r>
      <w:r>
        <w:t xml:space="preserve"> </w:t>
      </w:r>
      <w:r>
        <w:rPr>
          <w:rStyle w:val="VerbatimChar"/>
        </w:rPr>
        <w:t xml:space="preserve">+0.5</w:t>
      </w:r>
      <w:r>
        <w:t xml:space="preserve">, major edit</w:t>
      </w:r>
      <w:r>
        <w:t xml:space="preserve"> </w:t>
      </w:r>
      <w:r>
        <w:rPr>
          <w:rStyle w:val="VerbatimChar"/>
        </w:rPr>
        <w:t xml:space="preserve">0.0</w:t>
      </w:r>
      <w:r>
        <w:t xml:space="preserve">, rejection</w:t>
      </w:r>
      <w:r>
        <w:t xml:space="preserve"> </w:t>
      </w:r>
      <w:r>
        <w:rPr>
          <w:rStyle w:val="VerbatimChar"/>
        </w:rPr>
        <w:t xml:space="preserve">-1.0</w:t>
      </w:r>
      <w:r>
        <w:t xml:space="preserve">, user-added case</w:t>
      </w:r>
      <w:r>
        <w:t xml:space="preserve"> </w:t>
      </w:r>
      <w:r>
        <w:rPr>
          <w:rStyle w:val="VerbatimChar"/>
        </w:rPr>
        <w:t xml:space="preserve">-0.5</w:t>
      </w:r>
      <w:r>
        <w:t xml:space="preserve">, abandonment</w:t>
      </w:r>
      <w:r>
        <w:t xml:space="preserve"> </w:t>
      </w:r>
      <w:r>
        <w:rPr>
          <w:rStyle w:val="VerbatimChar"/>
        </w:rPr>
        <w:t xml:space="preserve">-0.2</w:t>
      </w:r>
      <w:r>
        <w:t xml:space="preserve">,</w:t>
      </w:r>
      <w:r>
        <w:t xml:space="preserve"> </w:t>
      </w:r>
      <w:r>
        <w:t xml:space="preserve">export</w:t>
      </w:r>
      <w:r>
        <w:t xml:space="preserve"> </w:t>
      </w:r>
      <w:r>
        <w:rPr>
          <w:rStyle w:val="VerbatimChar"/>
        </w:rPr>
        <w:t xml:space="preserve">+0.3</w:t>
      </w:r>
      <w:r>
        <w:t xml:space="preserve">. The task outcome is the clamped mean of case-level contributions.</w:t>
      </w:r>
    </w:p>
    <w:p>
      <w:pPr>
        <w:pStyle w:val="BodyText"/>
      </w:pPr>
      <w:r>
        <w:t xml:space="preserve">Three choices carry rationale. Clamping prevents a single large plan from dominating. A missed case</w:t>
      </w:r>
      <w:r>
        <w:t xml:space="preserve"> </w:t>
      </w:r>
      <w:r>
        <w:t xml:space="preserve">is penalized less than an incorrect one, because omission is cheaper to remedy than a false positive.</w:t>
      </w:r>
      <w:r>
        <w:t xml:space="preserve"> </w:t>
      </w:r>
      <w:r>
        <w:t xml:space="preserve">A major edit scores zero rather than negative, because the structure remained useful.</w:t>
      </w:r>
    </w:p>
    <w:p>
      <w:pPr>
        <w:pStyle w:val="BodyText"/>
      </w:pPr>
      <w:r>
        <w:t xml:space="preserve">Implicit signals (abandonment, export) are weighted well below explicit feedback and never</w:t>
      </w:r>
      <w:r>
        <w:t xml:space="preserve"> </w:t>
      </w:r>
      <w:r>
        <w:t xml:space="preserve">independently create or modify a memory. Abandonment is inherently ambiguous.</w:t>
      </w:r>
    </w:p>
    <w:p>
      <w:pPr>
        <w:pStyle w:val="BodyText"/>
      </w:pPr>
      <w:r>
        <w:rPr>
          <w:b/>
          <w:bCs/>
        </w:rPr>
        <w:t xml:space="preserve">Retrieval.</w:t>
      </w:r>
      <w:r>
        <w:t xml:space="preserve"> </w:t>
      </w:r>
      <w:r>
        <w:rPr>
          <w:rStyle w:val="VerbatimChar"/>
        </w:rPr>
        <w:t xml:space="preserve">score = w_sim Â· similarity + w_rec Â· recency + w_conf Â· confidence</w:t>
      </w:r>
      <w:r>
        <w:t xml:space="preserve">, initially</w:t>
      </w:r>
      <w:r>
        <w:t xml:space="preserve"> </w:t>
      </w:r>
      <w:r>
        <w:rPr>
          <w:rStyle w:val="VerbatimChar"/>
        </w:rPr>
        <w:t xml:space="preserve">0.6 / 0.2 / 0.2</w:t>
      </w:r>
      <w:r>
        <w:t xml:space="preserve">. Scope and tenant apply as filters before ranking. Pinned in-scope memories return</w:t>
      </w:r>
      <w:r>
        <w:t xml:space="preserve"> </w:t>
      </w:r>
      <w:r>
        <w:t xml:space="preserve">unconditionally. Component scores for every evaluated candidate, selected or not, are written to the</w:t>
      </w:r>
      <w:r>
        <w:t xml:space="preserve"> </w:t>
      </w:r>
      <w:r>
        <w:t xml:space="preserve">trace.</w:t>
      </w:r>
    </w:p>
    <w:p>
      <w:pPr>
        <w:pStyle w:val="BodyText"/>
      </w:pPr>
      <w:r>
        <w:rPr>
          <w:b/>
          <w:bCs/>
        </w:rPr>
        <w:t xml:space="preserve">Conflict handling.</w:t>
      </w:r>
      <w:r>
        <w:t xml:space="preserve"> </w:t>
      </w:r>
      <w:r>
        <w:t xml:space="preserve">Two in-scope memories that are semantically similar but prescriptively opposed</w:t>
      </w:r>
      <w:r>
        <w:t xml:space="preserve"> </w:t>
      </w:r>
      <w:r>
        <w:t xml:space="preserve">are surfaced, never merged. At confirmation the user chooses; at retrieval the higher product of</w:t>
      </w:r>
      <w:r>
        <w:t xml:space="preserve"> </w:t>
      </w:r>
      <w:r>
        <w:t xml:space="preserve">confidence and recency prevails and the conflict is flagged. Silent averaging would make the memory</w:t>
      </w:r>
      <w:r>
        <w:t xml:space="preserve"> </w:t>
      </w:r>
      <w:r>
        <w:t xml:space="preserve">store untrustworthy, because the user could no longer determine what the system holds to be true.</w:t>
      </w:r>
    </w:p>
    <w:p>
      <w:pPr>
        <w:pStyle w:val="BodyText"/>
      </w:pPr>
      <w:r>
        <w:rPr>
          <w:b/>
          <w:bCs/>
        </w:rPr>
        <w:t xml:space="preserve">Strategy selection.</w:t>
      </w:r>
      <w:r>
        <w:t xml:space="preserve"> </w:t>
      </w:r>
      <w:r>
        <w:t xml:space="preserve">Greedy over recorded outcome scores with probability</w:t>
      </w:r>
      <w:r>
        <w:t xml:space="preserve"> </w:t>
      </w:r>
      <w:r>
        <w:rPr>
          <w:rStyle w:val="VerbatimChar"/>
        </w:rPr>
        <w:t xml:space="preserve">1 - Îµ</w:t>
      </w:r>
      <w:r>
        <w:t xml:space="preserve">, uniform random</w:t>
      </w:r>
      <w:r>
        <w:t xml:space="preserve"> </w:t>
      </w:r>
      <w:r>
        <w:t xml:space="preserve">otherwise,</w:t>
      </w:r>
      <w:r>
        <w:t xml:space="preserve"> </w:t>
      </w:r>
      <w:r>
        <w:rPr>
          <w:rStyle w:val="VerbatimChar"/>
        </w:rPr>
        <w:t xml:space="preserve">Îµ</w:t>
      </w:r>
      <w:r>
        <w:t xml:space="preserve"> </w:t>
      </w:r>
      <w:r>
        <w:t xml:space="preserve">starting at 0.1 with a floor of 0.05. Updates are bounded and clamped, so no single</w:t>
      </w:r>
      <w:r>
        <w:t xml:space="preserve"> </w:t>
      </w:r>
      <w:r>
        <w:t xml:space="preserve">feedback event alters a selection. Below a minimum observation count the static default prevails.</w:t>
      </w:r>
    </w:p>
    <w:p>
      <w:pPr>
        <w:pStyle w:val="BodyText"/>
      </w:pPr>
      <w:r>
        <w:t xml:space="preserve">This is a bounded contextual bandit over four fixed options. It is not reinforcement learning and is</w:t>
      </w:r>
      <w:r>
        <w:t xml:space="preserve"> </w:t>
      </w:r>
      <w:r>
        <w:t xml:space="preserve">not described as such. Four arms and a scalar reward is a modest mechanism, but it is real,</w:t>
      </w:r>
      <w:r>
        <w:t xml:space="preserve"> </w:t>
      </w:r>
      <w:r>
        <w:t xml:space="preserve">scoreable, and explainable.</w:t>
      </w:r>
    </w:p>
    <w:p>
      <w:pPr>
        <w:pStyle w:val="BodyText"/>
      </w:pPr>
      <w:r>
        <w:t xml:space="preserve">Outcome scores are derived, never authoritative, and are recomputable from the immutable feedback</w:t>
      </w:r>
      <w:r>
        <w:t xml:space="preserve"> </w:t>
      </w:r>
      <w:r>
        <w:t xml:space="preserve">log. A poisoning incident or a change to the weighting scheme is therefore recoverable.</w:t>
      </w:r>
    </w:p>
    <w:bookmarkEnd w:id="60"/>
    <w:bookmarkStart w:id="61" w:name="Xe53e7bf73c01a3b5d6f06dc6e031dcb1e10772f"/>
    <w:p>
      <w:pPr>
        <w:pStyle w:val="Heading3"/>
      </w:pPr>
      <w:r>
        <w:t xml:space="preserve">8.4 Persistence</w:t>
      </w:r>
    </w:p>
    <w:p>
      <w:pPr>
        <w:pStyle w:val="FirstParagraph"/>
      </w:pPr>
      <w:r>
        <w:t xml:space="preserve">A single datastore holds relational and vector data. The determining argument is correctness rather</w:t>
      </w:r>
      <w:r>
        <w:t xml:space="preserve"> </w:t>
      </w:r>
      <w:r>
        <w:t xml:space="preserve">than performance: with separate stores, writing a memory requires two writes to two systems, and a</w:t>
      </w:r>
      <w:r>
        <w:t xml:space="preserve"> </w:t>
      </w:r>
      <w:r>
        <w:t xml:space="preserve">partial failure yields either orphaned vector data or a memory that exists but can never be</w:t>
      </w:r>
      <w:r>
        <w:t xml:space="preserve"> </w:t>
      </w:r>
      <w:r>
        <w:t xml:space="preserve">retrieved. The second fails silently and is indistinguishable from a system that has stopped</w:t>
      </w:r>
      <w:r>
        <w:t xml:space="preserve"> </w:t>
      </w:r>
      <w:r>
        <w:t xml:space="preserve">learning. Within one transaction the failure mode does not arise.</w:t>
      </w:r>
    </w:p>
    <w:p>
      <w:pPr>
        <w:pStyle w:val="BodyText"/>
      </w:pPr>
      <w:r>
        <w:t xml:space="preserve">The embedding dimension is fixed at schema creation. Changing the embedding model requires</w:t>
      </w:r>
      <w:r>
        <w:t xml:space="preserve"> </w:t>
      </w:r>
      <w:r>
        <w:t xml:space="preserve">re-embedding every memory and rebuilding the index. This is documented rather than discovered, and</w:t>
      </w:r>
      <w:r>
        <w:t xml:space="preserve"> </w:t>
      </w:r>
      <w:r>
        <w:t xml:space="preserve">is the reason the embedding decision is treated as blocking.</w:t>
      </w:r>
    </w:p>
    <w:bookmarkEnd w:id="61"/>
    <w:bookmarkStart w:id="62" w:name="X7c3202f2996dec89269bd78dc47bf3bf916604e"/>
    <w:p>
      <w:pPr>
        <w:pStyle w:val="Heading3"/>
      </w:pPr>
      <w:r>
        <w:t xml:space="preserve">8.5 Asynchronous execution</w:t>
      </w:r>
    </w:p>
    <w:p>
      <w:pPr>
        <w:pStyle w:val="FirstParagraph"/>
      </w:pPr>
      <w:r>
        <w:t xml:space="preserve">Jobs are rows claimed under</w:t>
      </w:r>
      <w:r>
        <w:t xml:space="preserve"> </w:t>
      </w:r>
      <w:r>
        <w:rPr>
          <w:rStyle w:val="VerbatimChar"/>
        </w:rPr>
        <w:t xml:space="preserve">SELECT ... FOR UPDATE SKIP LOCKED</w:t>
      </w:r>
      <w:r>
        <w:t xml:space="preserve"> </w:t>
      </w:r>
      <w:r>
        <w:t xml:space="preserve">with a lease that expires. Because</w:t>
      </w:r>
      <w:r>
        <w:t xml:space="preserve"> </w:t>
      </w:r>
      <w:r>
        <w:t xml:space="preserve">the job row shares a transaction with the task record, no window exists in which a task is present</w:t>
      </w:r>
      <w:r>
        <w:t xml:space="preserve"> </w:t>
      </w:r>
      <w:r>
        <w:t xml:space="preserve">without its job. Diagnosis of a stalled job is a query rather than an operational investigation.</w:t>
      </w:r>
    </w:p>
    <w:bookmarkEnd w:id="62"/>
    <w:bookmarkStart w:id="63" w:name="Xddafc9ad46dc74e5ac7dc04087102cb1f819d05"/>
    <w:p>
      <w:pPr>
        <w:pStyle w:val="Heading3"/>
      </w:pPr>
      <w:r>
        <w:t xml:space="preserve">8.6 Error handling</w:t>
      </w:r>
    </w:p>
    <w:p>
      <w:pPr>
        <w:pStyle w:val="FirstParagraph"/>
      </w:pPr>
      <w:r>
        <w:t xml:space="preserve">Errors are returned in RFC 9457 problem-detail form, giving one shape for every failure and one</w:t>
      </w:r>
      <w:r>
        <w:t xml:space="preserve"> </w:t>
      </w:r>
      <w:r>
        <w:t xml:space="preserve">rendering component. Every retry loop is bounded with a defined terminal state.</w:t>
      </w:r>
    </w:p>
    <w:p>
      <w:pPr>
        <w:pStyle w:val="BodyText"/>
      </w:pPr>
      <w:r>
        <w:t xml:space="preserve">Trace steps are written as they complete, so a task failing at generation still exposes its playbook</w:t>
      </w:r>
      <w:r>
        <w:t xml:space="preserve"> </w:t>
      </w:r>
      <w:r>
        <w:t xml:space="preserve">selection and retrieval results.</w:t>
      </w:r>
    </w:p>
    <w:bookmarkEnd w:id="63"/>
    <w:bookmarkStart w:id="64" w:name="Xf9d0b37f5a678074537481b80cd54dc191d53c9"/>
    <w:p>
      <w:pPr>
        <w:pStyle w:val="Heading3"/>
      </w:pPr>
      <w:r>
        <w:t xml:space="preserve">8.7 Observability</w:t>
      </w:r>
    </w:p>
    <w:p>
      <w:pPr>
        <w:pStyle w:val="FirstParagraph"/>
      </w:pPr>
      <w:r>
        <w:t xml:space="preserve">Spans correlate across API, worker, and inference calls. Logs carry identifiers and prompt digests,</w:t>
      </w:r>
      <w:r>
        <w:t xml:space="preserve"> </w:t>
      </w:r>
      <w:r>
        <w:t xml:space="preserve">never requirement text or memory content, and an automated assertion enforces this. Content logging</w:t>
      </w:r>
      <w:r>
        <w:t xml:space="preserve"> </w:t>
      </w:r>
      <w:r>
        <w:t xml:space="preserve">exists only as an explicit debug mode. Logging failure degrades to standard output and never blocks</w:t>
      </w:r>
      <w:r>
        <w:t xml:space="preserve"> </w:t>
      </w:r>
      <w:r>
        <w:t xml:space="preserve">task execution.</w:t>
      </w:r>
    </w:p>
    <w:p>
      <w:pPr>
        <w:pStyle w:val="BodyText"/>
      </w:pPr>
      <w:r>
        <w:t xml:space="preserve">Content-free logging is not incidental. Local inference is the confidentiality property, and logs</w:t>
      </w:r>
      <w:r>
        <w:t xml:space="preserve"> </w:t>
      </w:r>
      <w:r>
        <w:t xml:space="preserve">are the most probable route by which it would be undermined.</w:t>
      </w:r>
    </w:p>
    <w:bookmarkEnd w:id="64"/>
    <w:bookmarkStart w:id="65" w:name="X59575d66f95af07a9e4da5106f2f0f30ba5dff0"/>
    <w:p>
      <w:pPr>
        <w:pStyle w:val="Heading3"/>
      </w:pPr>
      <w:r>
        <w:t xml:space="preserve">8.8 Configuration and versioning</w:t>
      </w:r>
    </w:p>
    <w:p>
      <w:pPr>
        <w:pStyle w:val="FirstParagraph"/>
      </w:pPr>
      <w:r>
        <w:t xml:space="preserve">Prompt templates, retrieval weights, exploration rate, and model configuration are held as versioned</w:t>
      </w:r>
      <w:r>
        <w:t xml:space="preserve"> </w:t>
      </w:r>
      <w:r>
        <w:t xml:space="preserve">records. A version reaches active status only with an associated passing evaluation run, enforced as</w:t>
      </w:r>
      <w:r>
        <w:t xml:space="preserve"> </w:t>
      </w:r>
      <w:r>
        <w:t xml:space="preserve">a data-layer constraint rather than an interface check.</w:t>
      </w:r>
    </w:p>
    <w:p>
      <w:pPr>
        <w:pStyle w:val="BodyText"/>
      </w:pPr>
      <w:r>
        <w:t xml:space="preserve">Every task pins the configuration version under which it executed. Without that pin, historical</w:t>
      </w:r>
      <w:r>
        <w:t xml:space="preserve"> </w:t>
      </w:r>
      <w:r>
        <w:t xml:space="preserve">results are uninterpretable and regression comparison is meaningless.</w:t>
      </w:r>
    </w:p>
    <w:bookmarkEnd w:id="65"/>
    <w:bookmarkStart w:id="66" w:name="X64ec02dc60f3d81da6b07a9685c839f7260380c"/>
    <w:p>
      <w:pPr>
        <w:pStyle w:val="Heading3"/>
      </w:pPr>
      <w:r>
        <w:t xml:space="preserve">8.9 Testability</w:t>
      </w:r>
    </w:p>
    <w:p>
      <w:pPr>
        <w:pStyle w:val="FirstParagraph"/>
      </w:pPr>
      <w:r>
        <w:t xml:space="preserve">Deterministic checks precede model-based review. Integration tests execute against a real datastore</w:t>
      </w:r>
      <w:r>
        <w:t xml:space="preserve"> </w:t>
      </w:r>
      <w:r>
        <w:t xml:space="preserve">and a fake inference provider, because they exist to verify wiring, and model behaviour is the</w:t>
      </w:r>
      <w:r>
        <w:t xml:space="preserve"> </w:t>
      </w:r>
      <w:r>
        <w:t xml:space="preserve">evaluation layer's concern. Both provider implementations satisfy a shared contract suite.</w:t>
      </w:r>
    </w:p>
    <w:bookmarkEnd w:id="66"/>
    <w:bookmarkEnd w:id="67"/>
    <w:bookmarkStart w:id="70" w:name="Xcc5692e33ab3fc93d2ddf24b8d4e82b5b863139"/>
    <w:p>
      <w:pPr>
        <w:pStyle w:val="Heading2"/>
      </w:pPr>
      <w:r>
        <w:t xml:space="preserve">9. Architecture decisions</w:t>
      </w:r>
    </w:p>
    <w:p>
      <w:pPr>
        <w:pStyle w:val="FirstParagraph"/>
      </w:pPr>
      <w:r>
        <w:t xml:space="preserve">Significant decisions are recorded as ADRs in MADR 4.0 format. Remaining decisions are held in</w:t>
      </w:r>
      <w:r>
        <w:t xml:space="preserve"> </w:t>
      </w:r>
      <w:hyperlink r:id="rId68">
        <w:r>
          <w:rPr>
            <w:rStyle w:val="Hyperlink"/>
          </w:rPr>
          <w:t xml:space="preserve">NOVA-DL-001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70"/>
    <w:bookmarkStart w:id="76" w:name="X0e95e9cc01008fd85211210bb98668ff898672b"/>
    <w:p>
      <w:pPr>
        <w:pStyle w:val="Heading2"/>
      </w:pPr>
      <w:r>
        <w:t xml:space="preserve">10. Quality requirements</w:t>
      </w:r>
    </w:p>
    <w:bookmarkStart w:id="74" w:name="X811c158ed678f7c7313f13ff0d33514deb126df"/>
    <w:p>
      <w:pPr>
        <w:pStyle w:val="Heading3"/>
      </w:pPr>
      <w:r>
        <w:t xml:space="preserve">10.1 Quality tree</w:t>
      </w:r>
    </w:p>
    <w:p>
      <w:pPr>
        <w:pStyle w:val="FirstParagraph"/>
      </w:pPr>
      <w:r>
        <w:drawing>
          <wp:inline>
            <wp:extent cx="5943600" cy="962844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C:/Users/laxmi/AppData/Local/Temp/nova-docs-29bc2e55/architecture-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28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X53ea30c64f45e23e8d1e8449f595c20cc065ece"/>
    <w:p>
      <w:pPr>
        <w:pStyle w:val="Heading3"/>
      </w:pPr>
      <w:r>
        <w:t xml:space="preserve">10.2 Quality scenarios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Required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QS-1</w:t>
            </w:r>
          </w:p>
        </w:tc>
        <w:tc>
          <w:tcPr/>
          <w:p>
            <w:pPr>
              <w:pStyle w:val="Compact"/>
            </w:pPr>
            <w:r>
              <w:t xml:space="preserve">A correction is submitted whose text is shaped as a system instruction</w:t>
            </w:r>
          </w:p>
        </w:tc>
        <w:tc>
          <w:tcPr/>
          <w:p>
            <w:pPr>
              <w:pStyle w:val="Compact"/>
            </w:pPr>
            <w:r>
              <w:t xml:space="preserve">Malicious or accidental input</w:t>
            </w:r>
          </w:p>
        </w:tc>
        <w:tc>
          <w:tcPr/>
          <w:p>
            <w:pPr>
              <w:pStyle w:val="Compact"/>
            </w:pPr>
            <w:r>
              <w:t xml:space="preserve">Screened and flagged. Never stored without explicit user action on the flagged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QS-2</w:t>
            </w:r>
          </w:p>
        </w:tc>
        <w:tc>
          <w:tcPr/>
          <w:p>
            <w:pPr>
              <w:pStyle w:val="Compact"/>
            </w:pPr>
            <w:r>
              <w:t xml:space="preserve">Retrieval is performed for one tenant while another holds highly similar memories</w:t>
            </w:r>
          </w:p>
        </w:tc>
        <w:tc>
          <w:tcPr/>
          <w:p>
            <w:pPr>
              <w:pStyle w:val="Compact"/>
            </w:pPr>
            <w:r>
              <w:t xml:space="preserve">Query execution</w:t>
            </w:r>
          </w:p>
        </w:tc>
        <w:tc>
          <w:tcPr/>
          <w:p>
            <w:pPr>
              <w:pStyle w:val="Compact"/>
            </w:pPr>
            <w:r>
              <w:t xml:space="preserve">Zero records from the other tenant. Verified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QS-3</w:t>
            </w:r>
          </w:p>
        </w:tc>
        <w:tc>
          <w:tcPr/>
          <w:p>
            <w:pPr>
              <w:pStyle w:val="Compact"/>
            </w:pPr>
            <w:r>
              <w:t xml:space="preserve">A task fails during generation</w:t>
            </w:r>
          </w:p>
        </w:tc>
        <w:tc>
          <w:tcPr/>
          <w:p>
            <w:pPr>
              <w:pStyle w:val="Compact"/>
            </w:pPr>
            <w:r>
              <w:t xml:space="preserve">Provider timeout</w:t>
            </w:r>
          </w:p>
        </w:tc>
        <w:tc>
          <w:tcPr/>
          <w:p>
            <w:pPr>
              <w:pStyle w:val="Compact"/>
            </w:pPr>
            <w:r>
              <w:t xml:space="preserve">Playbook selection and retrieval results remain inspectable in the persisted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QS-4</w:t>
            </w:r>
          </w:p>
        </w:tc>
        <w:tc>
          <w:tcPr/>
          <w:p>
            <w:pPr>
              <w:pStyle w:val="Compact"/>
            </w:pPr>
            <w:r>
              <w:t xml:space="preserve">Output omits an expected test case</w:t>
            </w:r>
          </w:p>
        </w:tc>
        <w:tc>
          <w:tcPr/>
          <w:p>
            <w:pPr>
              <w:pStyle w:val="Compact"/>
            </w:pPr>
            <w:r>
              <w:t xml:space="preserve">User review</w:t>
            </w:r>
          </w:p>
        </w:tc>
        <w:tc>
          <w:tcPr/>
          <w:p>
            <w:pPr>
              <w:pStyle w:val="Compact"/>
            </w:pPr>
            <w:r>
              <w:t xml:space="preserve">The trace distinguishes a memory that was never retrieved from one retrieved and not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QS-5</w:t>
            </w:r>
          </w:p>
        </w:tc>
        <w:tc>
          <w:tcPr/>
          <w:p>
            <w:pPr>
              <w:pStyle w:val="Compact"/>
            </w:pPr>
            <w:r>
              <w:t xml:space="preserve">A prompt change degrades output quality</w:t>
            </w:r>
          </w:p>
        </w:tc>
        <w:tc>
          <w:tcPr/>
          <w:p>
            <w:pPr>
              <w:pStyle w:val="Compact"/>
            </w:pPr>
            <w:r>
              <w:t xml:space="preserve">Configuration change submitted</w:t>
            </w:r>
          </w:p>
        </w:tc>
        <w:tc>
          <w:tcPr/>
          <w:p>
            <w:pPr>
              <w:pStyle w:val="Compact"/>
            </w:pPr>
            <w:r>
              <w:t xml:space="preserve">The regression gate blocks activation 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QS-6</w:t>
            </w:r>
          </w:p>
        </w:tc>
        <w:tc>
          <w:tcPr/>
          <w:p>
            <w:pPr>
              <w:pStyle w:val="Compact"/>
            </w:pPr>
            <w:r>
              <w:t xml:space="preserve">A prior execution must be reproduced</w:t>
            </w:r>
          </w:p>
        </w:tc>
        <w:tc>
          <w:tcPr/>
          <w:p>
            <w:pPr>
              <w:pStyle w:val="Compact"/>
            </w:pPr>
            <w:r>
              <w:t xml:space="preserve">Same input, seed, model, configuration version</w:t>
            </w:r>
          </w:p>
        </w:tc>
        <w:tc>
          <w:tcPr/>
          <w:p>
            <w:pPr>
              <w:pStyle w:val="Compact"/>
            </w:pPr>
            <w:r>
              <w:t xml:space="preserve">Equivalent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QS-7</w:t>
            </w:r>
          </w:p>
        </w:tc>
        <w:tc>
          <w:tcPr/>
          <w:p>
            <w:pPr>
              <w:pStyle w:val="Compact"/>
            </w:pPr>
            <w:r>
              <w:t xml:space="preserve">A hosted provider becomes selected</w:t>
            </w:r>
          </w:p>
        </w:tc>
        <w:tc>
          <w:tcPr/>
          <w:p>
            <w:pPr>
              <w:pStyle w:val="Compact"/>
            </w:pPr>
            <w:r>
              <w:t xml:space="preserve">Configuration action</w:t>
            </w:r>
          </w:p>
        </w:tc>
        <w:tc>
          <w:tcPr/>
          <w:p>
            <w:pPr>
              <w:pStyle w:val="Compact"/>
            </w:pPr>
            <w:r>
              <w:t xml:space="preserve">Only through explicit user action. Never as a fallback. Visible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QS-8</w:t>
            </w:r>
          </w:p>
        </w:tc>
        <w:tc>
          <w:tcPr/>
          <w:p>
            <w:pPr>
              <w:pStyle w:val="Compact"/>
            </w:pPr>
            <w:r>
              <w:t xml:space="preserve">The worker process terminates mid-task</w:t>
            </w:r>
          </w:p>
        </w:tc>
        <w:tc>
          <w:tcPr/>
          <w:p>
            <w:pPr>
              <w:pStyle w:val="Compact"/>
            </w:pPr>
            <w:r>
              <w:t xml:space="preserve">Process failure</w:t>
            </w:r>
          </w:p>
        </w:tc>
        <w:tc>
          <w:tcPr/>
          <w:p>
            <w:pPr>
              <w:pStyle w:val="Compact"/>
            </w:pPr>
            <w:r>
              <w:t xml:space="preserve">The job is reclaimed after lease expiry.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QS-9</w:t>
            </w:r>
          </w:p>
        </w:tc>
        <w:tc>
          <w:tcPr/>
          <w:p>
            <w:pPr>
              <w:pStyle w:val="Compact"/>
            </w:pPr>
            <w:r>
              <w:t xml:space="preserve">The inference runtime is unavailable</w:t>
            </w:r>
          </w:p>
        </w:tc>
        <w:tc>
          <w:tcPr/>
          <w:p>
            <w:pPr>
              <w:pStyle w:val="Compact"/>
            </w:pPr>
            <w:r>
              <w:t xml:space="preserve">Dependency failure</w:t>
            </w:r>
          </w:p>
        </w:tc>
        <w:tc>
          <w:tcPr/>
          <w:p>
            <w:pPr>
              <w:pStyle w:val="Compact"/>
            </w:pPr>
            <w:r>
              <w:t xml:space="preserve">Submission still succeeds and queues. Readiness reports unhealthy. The error names the required action</w:t>
            </w:r>
          </w:p>
        </w:tc>
      </w:tr>
    </w:tbl>
    <w:bookmarkEnd w:id="75"/>
    <w:bookmarkEnd w:id="76"/>
    <w:bookmarkStart w:id="78" w:name="X7a1ea36a35f71b8e1640e72d2b209f06fccbf28"/>
    <w:p>
      <w:pPr>
        <w:pStyle w:val="Heading2"/>
      </w:pPr>
      <w:r>
        <w:t xml:space="preserve">11. Risks and technical debt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 or debt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may not reach usable precision on a local model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Measured at a defined checkpoint before dependent interface work.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The embedding model and dimension remain unselected, and the dimension is fixed in the schema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Blocking. A dedicated spike precedes schema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may exceed evaluation gate margins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Variance measured before any threshold is set. Dataset grows rather than thresholds loosening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Threshold fixed from measured distributions, documented, held constant, and always reported alongside retrieval precision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t xml:space="preserve">The 8B model class may not fit the VRAM budget, and was not measured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Two candidates retrieved and awaiting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Container-to-host inference reachability is unverified on this platform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Verified before deployment work. Resolution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adversarial suite establishes a floor, not a guarantee, and is described as such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may not justify its latency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would invalidate the security model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Recorded so that the consequence is not overlooked. Such a change requires rewriting NOVA-TM-001 rather than amending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t xml:space="preserve">Trace volume has no pruning policy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Named so it is not discovered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</w:tbl>
    <w:p>
      <w:pPr>
        <w:pStyle w:val="BodyText"/>
      </w:pPr>
      <w:r>
        <w:t xml:space="preserve">Full register:</w:t>
      </w:r>
      <w:r>
        <w:t xml:space="preserve"> </w:t>
      </w:r>
      <w:hyperlink r:id="rId77">
        <w:r>
          <w:rPr>
            <w:rStyle w:val="Hyperlink"/>
          </w:rPr>
          <w:t xml:space="preserve">NOVA-RR-001</w:t>
        </w:r>
      </w:hyperlink>
      <w:r>
        <w:t xml:space="preserve">.</w:t>
      </w:r>
    </w:p>
    <w:bookmarkEnd w:id="78"/>
    <w:bookmarkStart w:id="80" w:name="X3d29c9c930e7bea12d62a5482ba454eaf942e6b"/>
    <w:p>
      <w:pPr>
        <w:pStyle w:val="Heading2"/>
      </w:pPr>
      <w:r>
        <w:t xml:space="preserve">12.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79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1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81"/>
    <w:bookmarkEnd w:id="82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71" Target="media/rId71.png" /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9" Target="adr/0005-select-an-embedding-model-and-vector-dimension.md" TargetMode="External" /><Relationship Type="http://schemas.openxmlformats.org/officeDocument/2006/relationships/hyperlink" Id="rId68" Target="decision-log.md" TargetMode="External" /><Relationship Type="http://schemas.openxmlformats.org/officeDocument/2006/relationships/hyperlink" Id="rId77" Target="risk-register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79" Target="srs.md#14-definitions-acronyms-and-abbreviations" TargetMode="External" /><Relationship Type="http://schemas.openxmlformats.org/officeDocument/2006/relationships/hyperlink" Id="rId58" Target="threat-mode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9" Target="adr/0005-select-an-embedding-model-and-vector-dimension.md" TargetMode="External" /><Relationship Type="http://schemas.openxmlformats.org/officeDocument/2006/relationships/hyperlink" Id="rId68" Target="decision-log.md" TargetMode="External" /><Relationship Type="http://schemas.openxmlformats.org/officeDocument/2006/relationships/hyperlink" Id="rId77" Target="risk-register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79" Target="srs.md#14-definitions-acronyms-and-abbreviations" TargetMode="External" /><Relationship Type="http://schemas.openxmlformats.org/officeDocument/2006/relationships/hyperlink" Id="rId58" Target="threat-mode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2026-09-08T05:07:04Z</dcterms:created>
  <dcterms:modified xsi:type="dcterms:W3CDTF">2026-09-08T05:07:04Z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