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 unselected. The dimension is fixed at schema creation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Treated as blocking. A dedicated spike precedes schema definition</w:t>
            </w:r>
          </w:p>
        </w:tc>
        <w:tc>
          <w:tcPr/>
          <w:p>
            <w:pPr>
              <w:pStyle w:val="Compact"/>
            </w:pPr>
            <w:r>
              <w:t xml:space="preserve">Schema work commencing before the spike concludes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does not fit the 6 GB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measurement. Where offload to host memory is required, the resulting latency determines the outcome</w:t>
            </w:r>
          </w:p>
        </w:tc>
        <w:tc>
          <w:tcPr/>
          <w:p>
            <w:pPr>
              <w:pStyle w:val="Compact"/>
            </w:pPr>
            <w:r>
              <w:t xml:space="preserve">Residency measurement exceeding available VRAM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platform, and is the most probable early impediment. Anyone reproducing the deployment encounters 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Half a day allocated. Resolution documented in the repository README</w:t>
            </w:r>
          </w:p>
        </w:tc>
        <w:tc>
          <w:tcPr/>
          <w:p>
            <w:pPr>
              <w:pStyle w:val="Compact"/>
            </w:pPr>
            <w:r>
              <w:t xml:space="preserve">Container unable to reach the host inference endpoint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1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</w:tbl>
    <w:bookmarkEnd w:id="11"/>
    <w:bookmarkStart w:id="12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2026-09-08T05:07:18Z</dcterms:created>
  <dcterms:modified xsi:type="dcterms:W3CDTF">2026-09-08T05:07:18Z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