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software-requirements-specification"/>
    <w:p>
      <w:pPr>
        <w:pStyle w:val="Heading1"/>
      </w:pPr>
      <w:r>
        <w:t xml:space="preserve">Software Requirements Specification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NOVA-SRS-001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29148:2018, clause 9.6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" w:name="Xe3d0fc0bea9a42ce7605565d0964033d7f6ee47"/>
    <w:p>
      <w:pPr>
        <w:pStyle w:val="Heading2"/>
      </w:pPr>
      <w:r>
        <w:t xml:space="preserve">1. Introduction</w:t>
      </w:r>
    </w:p>
    <w:bookmarkStart w:id="9" w:name="Xe94c4103db6bb764aa3b798144b782dac27f424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specifies the functional and non-functional requirements for NOVA, a locally hosted</w:t>
      </w:r>
      <w:r>
        <w:t xml:space="preserve"> </w:t>
      </w:r>
      <w:r>
        <w:t xml:space="preserve">agent that converts software requirements into structured test plans and retains user corrections as</w:t>
      </w:r>
      <w:r>
        <w:t xml:space="preserve"> </w:t>
      </w:r>
      <w:r>
        <w:t xml:space="preserve">durable memory. It is the authoritative requirements baseline for the initial release and the source</w:t>
      </w:r>
      <w:r>
        <w:t xml:space="preserve"> </w:t>
      </w:r>
      <w:r>
        <w:t xml:space="preserve">against which verification is performed.</w:t>
      </w:r>
    </w:p>
    <w:p>
      <w:pPr>
        <w:pStyle w:val="BodyText"/>
      </w:pPr>
      <w:r>
        <w:t xml:space="preserve">Intended audience: the implementing engineer, and any reviewer assessing the completeness or</w:t>
      </w:r>
      <w:r>
        <w:t xml:space="preserve"> </w:t>
      </w:r>
      <w:r>
        <w:t xml:space="preserve">testability of the requirement set.</w:t>
      </w:r>
    </w:p>
    <w:bookmarkEnd w:id="9"/>
    <w:bookmarkStart w:id="11" w:name="X3378fde8998068a01e48267892e5cd923e9bc15"/>
    <w:p>
      <w:pPr>
        <w:pStyle w:val="Heading3"/>
      </w:pPr>
      <w:r>
        <w:t xml:space="preserve">1.2 Scope</w:t>
      </w:r>
    </w:p>
    <w:p>
      <w:pPr>
        <w:pStyle w:val="FirstParagraph"/>
      </w:pPr>
      <w:r>
        <w:t xml:space="preserve">The software product is named</w:t>
      </w:r>
      <w:r>
        <w:t xml:space="preserve"> </w:t>
      </w:r>
      <w:r>
        <w:rPr>
          <w:b/>
          <w:bCs/>
        </w:rPr>
        <w:t xml:space="preserve">NOVA</w:t>
      </w:r>
      <w:r>
        <w:t xml:space="preserve">.</w:t>
      </w:r>
    </w:p>
    <w:p>
      <w:pPr>
        <w:pStyle w:val="BodyText"/>
      </w:pPr>
      <w:r>
        <w:t xml:space="preserve">NOVA accepts a natural-language software requirement, classifies it by type, and produces a</w:t>
      </w:r>
      <w:r>
        <w:t xml:space="preserve"> </w:t>
      </w:r>
      <w:r>
        <w:t xml:space="preserve">structured test plan conforming to a versioned schema. It records user corrections at test case</w:t>
      </w:r>
      <w:r>
        <w:t xml:space="preserve"> </w:t>
      </w:r>
      <w:r>
        <w:t xml:space="preserve">granularity, extracts durable rules from those corrections subject to explicit user confirmation,</w:t>
      </w:r>
      <w:r>
        <w:t xml:space="preserve"> </w:t>
      </w:r>
      <w:r>
        <w:t xml:space="preserve">and applies them to subsequent structurally similar requirements. It exposes a complete execution</w:t>
      </w:r>
      <w:r>
        <w:t xml:space="preserve"> </w:t>
      </w:r>
      <w:r>
        <w:t xml:space="preserve">trace for every task and measures whether corrections recur.</w:t>
      </w:r>
    </w:p>
    <w:p>
      <w:pPr>
        <w:pStyle w:val="BodyText"/>
      </w:pPr>
      <w:r>
        <w:t xml:space="preserve">NOVA does not execute tests, generate executable test code, ingest source repositories, or integrate</w:t>
      </w:r>
      <w:r>
        <w:t xml:space="preserve"> </w:t>
      </w:r>
      <w:r>
        <w:t xml:space="preserve">with issue trackers. It performs no model training of any kind.</w:t>
      </w:r>
    </w:p>
    <w:p>
      <w:pPr>
        <w:pStyle w:val="BodyText"/>
      </w:pPr>
      <w:r>
        <w:t xml:space="preserve">Benefits and objectives are stated in</w:t>
      </w:r>
      <w:r>
        <w:t xml:space="preserve"> </w:t>
      </w:r>
      <w:hyperlink r:id="rId10">
        <w:r>
          <w:rPr>
            <w:rStyle w:val="Hyperlink"/>
          </w:rPr>
          <w:t xml:space="preserve">NOVA-VS-001</w:t>
        </w:r>
      </w:hyperlink>
      <w:r>
        <w:t xml:space="preserve">.</w:t>
      </w:r>
    </w:p>
    <w:bookmarkEnd w:id="11"/>
    <w:bookmarkStart w:id="16" w:name="Xe465ea7d6873bc229ec6a736b8f5d39c4f5014d"/>
    <w:p>
      <w:pPr>
        <w:pStyle w:val="Heading3"/>
      </w:pPr>
      <w:r>
        <w:t xml:space="preserve">1.3 Product overview</w:t>
      </w:r>
    </w:p>
    <w:bookmarkStart w:id="12" w:name="Xef80f9150b9a27239f0ee35f1bd3b17d6bece32"/>
    <w:p>
      <w:pPr>
        <w:pStyle w:val="Heading4"/>
      </w:pPr>
      <w:r>
        <w:t xml:space="preserve">1.3.1 Product perspective</w:t>
      </w:r>
    </w:p>
    <w:p>
      <w:pPr>
        <w:pStyle w:val="FirstParagraph"/>
      </w:pPr>
      <w:r>
        <w:t xml:space="preserve">NOVA is a self-contained product with no predecessor system. It consists of four deployable</w:t>
      </w:r>
      <w:r>
        <w:t xml:space="preserve"> </w:t>
      </w:r>
      <w:r>
        <w:t xml:space="preserve">components: a browser-based user interface, a REST API service, an asynchronous worker process, and</w:t>
      </w:r>
      <w:r>
        <w:t xml:space="preserve"> </w:t>
      </w:r>
      <w:r>
        <w:t xml:space="preserve">a relational datastore with vector indexing. Inference is supplied by an external runtime resident on</w:t>
      </w:r>
      <w:r>
        <w:t xml:space="preserve"> </w:t>
      </w:r>
      <w:r>
        <w:t xml:space="preserve">the host, addressed through an internal provider abstraction.</w:t>
      </w:r>
    </w:p>
    <w:p>
      <w:pPr>
        <w:pStyle w:val="BodyText"/>
      </w:pPr>
      <w:r>
        <w:t xml:space="preserve">External interfaces are limited to the inference runtime. The system has no other outbound network</w:t>
      </w:r>
      <w:r>
        <w:t xml:space="preserve"> </w:t>
      </w:r>
      <w:r>
        <w:t xml:space="preserve">dependency in its default configuration.</w:t>
      </w:r>
    </w:p>
    <w:bookmarkEnd w:id="12"/>
    <w:bookmarkStart w:id="13" w:name="X98b6993d07b438abd196f7eeeb70660bf782349"/>
    <w:p>
      <w:pPr>
        <w:pStyle w:val="Heading4"/>
      </w:pPr>
      <w:r>
        <w:t xml:space="preserve">1.3.2 Product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intake</w:t>
            </w:r>
          </w:p>
        </w:tc>
        <w:tc>
          <w:tcPr/>
          <w:p>
            <w:pPr>
              <w:pStyle w:val="Compact"/>
            </w:pPr>
            <w:r>
              <w:t xml:space="preserve">Accept, validate, classify, and persist a submitted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 generation</w:t>
            </w:r>
          </w:p>
        </w:tc>
        <w:tc>
          <w:tcPr/>
          <w:p>
            <w:pPr>
              <w:pStyle w:val="Compact"/>
            </w:pPr>
            <w:r>
              <w:t xml:space="preserve">Produce a schema-conformant test plan using constrained decoding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retrieval</w:t>
            </w:r>
          </w:p>
        </w:tc>
        <w:tc>
          <w:tcPr/>
          <w:p>
            <w:pPr>
              <w:pStyle w:val="Compact"/>
            </w:pPr>
            <w:r>
              <w:t xml:space="preserve">Select applicable stored rules and expose the selection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selection</w:t>
            </w:r>
          </w:p>
        </w:tc>
        <w:tc>
          <w:tcPr/>
          <w:p>
            <w:pPr>
              <w:pStyle w:val="Compact"/>
            </w:pPr>
            <w:r>
              <w:t xml:space="preserve">Choose a generation playbook from recorded outcome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 evaluation</w:t>
            </w:r>
          </w:p>
        </w:tc>
        <w:tc>
          <w:tcPr/>
          <w:p>
            <w:pPr>
              <w:pStyle w:val="Compact"/>
            </w:pPr>
            <w:r>
              <w:t xml:space="preserve">Apply deterministic checks and a bounded model-based review before returning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capture</w:t>
            </w:r>
          </w:p>
        </w:tc>
        <w:tc>
          <w:tcPr/>
          <w:p>
            <w:pPr>
              <w:pStyle w:val="Compact"/>
            </w:pPr>
            <w:r>
              <w:t xml:space="preserve">Record accept, edit, reject, and addition events at test case granularity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extraction</w:t>
            </w:r>
          </w:p>
        </w:tc>
        <w:tc>
          <w:tcPr/>
          <w:p>
            <w:pPr>
              <w:pStyle w:val="Compact"/>
            </w:pPr>
            <w:r>
              <w:t xml:space="preserve">Derive candidate rules from corrections and present them for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t xml:space="preserve">Browse, edit, pin, and delete stored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tracing</w:t>
            </w:r>
          </w:p>
        </w:tc>
        <w:tc>
          <w:tcPr/>
          <w:p>
            <w:pPr>
              <w:pStyle w:val="Compact"/>
            </w:pPr>
            <w:r>
              <w:t xml:space="preserve">Persist and present a complete record of each task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Execute a versioned dataset, compute metrics, and gate configuration changes</w:t>
            </w:r>
          </w:p>
        </w:tc>
      </w:tr>
    </w:tbl>
    <w:bookmarkEnd w:id="13"/>
    <w:bookmarkStart w:id="14" w:name="Xc9cbf28501699da499311f40f7c356a4c3104dc"/>
    <w:p>
      <w:pPr>
        <w:pStyle w:val="Heading4"/>
      </w:pPr>
      <w:r>
        <w:t xml:space="preserve">1.3.3 User 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</w:t>
            </w:r>
          </w:p>
        </w:tc>
        <w:tc>
          <w:tcPr/>
          <w:p>
            <w:pPr>
              <w:pStyle w:val="Compact"/>
            </w:pPr>
            <w:r>
              <w:t xml:space="preserve">Software or test engineer, two to six years of experience, fluent in test design and comfortable with command-line tooling and HTTP APIs. Holds specific conventions regarding case format, mandatory case types, and priority taxonomy. Professionally disinclined to accept unexplained automated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The same individual. Responsible for deployment, model provisioning, and backup</w:t>
            </w:r>
          </w:p>
        </w:tc>
      </w:tr>
    </w:tbl>
    <w:p>
      <w:pPr>
        <w:pStyle w:val="BodyText"/>
      </w:pPr>
      <w:r>
        <w:t xml:space="preserve">There is no administrative user class in the initial release.</w:t>
      </w:r>
    </w:p>
    <w:bookmarkEnd w:id="14"/>
    <w:bookmarkStart w:id="15" w:name="Xc1e615129ffcceff5e0b0eab60ac3cffc0c7876"/>
    <w:p>
      <w:pPr>
        <w:pStyle w:val="Heading4"/>
      </w:pPr>
      <w:r>
        <w:t xml:space="preserve">1.3.4 Limitations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Development effort limited to approximately 130 to 180 hours</w:t>
            </w:r>
          </w:p>
        </w:tc>
        <w:tc>
          <w:tcPr/>
          <w:p>
            <w:pPr>
              <w:pStyle w:val="Compact"/>
            </w:pPr>
            <w:r>
              <w:t xml:space="preserve">Resource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code review</w:t>
            </w:r>
          </w:p>
        </w:tc>
        <w:tc>
          <w:tcPr/>
          <w:p>
            <w:pPr>
              <w:pStyle w:val="Compact"/>
            </w:pPr>
            <w:r>
              <w:t xml:space="preserve">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Inference constrained to a 6 GB VRAM budget</w:t>
            </w:r>
          </w:p>
        </w:tc>
        <w:tc>
          <w:tcPr/>
          <w:p>
            <w:pPr>
              <w:pStyle w:val="Compact"/>
            </w:pPr>
            <w:r>
              <w:t xml:space="preserve">Measured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Deployment is local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fine-tuning</w:t>
            </w:r>
          </w:p>
        </w:tc>
        <w:tc>
          <w:tcPr/>
          <w:p>
            <w:pPr>
              <w:pStyle w:val="Compact"/>
            </w:pPr>
            <w:r>
              <w:t xml:space="preserve">Scope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with a multi-tenant-capable schema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</w:tbl>
    <w:bookmarkEnd w:id="15"/>
    <w:bookmarkEnd w:id="16"/>
    <w:bookmarkStart w:id="17" w:name="Xa1f827e69131a9242dd1811f908c9d7e0b8c433"/>
    <w:p>
      <w:pPr>
        <w:pStyle w:val="Heading3"/>
      </w:pPr>
      <w:r>
        <w:t xml:space="preserve">1.4 Definitions, acronyms, and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Acceptance criterion. A verifiable condition stated within a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Architecture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Applied lesson</w:t>
            </w:r>
          </w:p>
        </w:tc>
        <w:tc>
          <w:tcPr/>
          <w:p>
            <w:pPr>
              <w:pStyle w:val="Compact"/>
            </w:pPr>
            <w:r>
              <w:t xml:space="preserve">A stored memory retrieved and injected into a generation prompt for a given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memory</w:t>
            </w:r>
          </w:p>
        </w:tc>
        <w:tc>
          <w:tcPr/>
          <w:p>
            <w:pPr>
              <w:pStyle w:val="Compact"/>
            </w:pPr>
            <w:r>
              <w:t xml:space="preserve">An extracted rule awaiting user confirmation. Not yet retrievable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Constrained decoding</w:t>
            </w:r>
          </w:p>
        </w:tc>
        <w:tc>
          <w:tcPr/>
          <w:p>
            <w:pPr>
              <w:pStyle w:val="Compact"/>
            </w:pPr>
            <w:r>
              <w:t xml:space="preserve">Generation restricted at the token level to output conforming to a supplied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CRR</w:t>
            </w:r>
          </w:p>
        </w:tc>
        <w:tc>
          <w:tcPr/>
          <w:p>
            <w:pPr>
              <w:pStyle w:val="Compact"/>
            </w:pPr>
            <w:r>
              <w:t xml:space="preserve">Correction Recurrence Rate. See section 3.1.9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t xml:space="preserve">The ordered, persisted record of every step, model call, and score for one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A durable rule derived from a user correction, with provenance, scope, and 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</w:t>
            </w:r>
          </w:p>
        </w:tc>
        <w:tc>
          <w:tcPr/>
          <w:p>
            <w:pPr>
              <w:pStyle w:val="Compact"/>
            </w:pPr>
            <w:r>
              <w:t xml:space="preserve">A named, versioned generation strategy comprising required case types, a prompt fragment, and check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The originating task, correction, and timestamp recorded against a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The isolation boundary for all user-owned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</w:t>
            </w:r>
          </w:p>
        </w:tc>
        <w:tc>
          <w:tcPr/>
          <w:p>
            <w:pPr>
              <w:pStyle w:val="Compact"/>
            </w:pPr>
            <w:r>
              <w:t xml:space="preserve">The structured output of one generation, comprising a summary and an ordered set of test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Tombstone</w:t>
            </w:r>
          </w:p>
        </w:tc>
        <w:tc>
          <w:tcPr/>
          <w:p>
            <w:pPr>
              <w:pStyle w:val="Compact"/>
            </w:pPr>
            <w:r>
              <w:t xml:space="preserve">The residual record of a deleted memory, retaining identifiers and timestamps but no content</w:t>
            </w:r>
          </w:p>
        </w:tc>
      </w:tr>
    </w:tbl>
    <w:bookmarkEnd w:id="17"/>
    <w:bookmarkEnd w:id="18"/>
    <w:bookmarkStart w:id="19" w:name="X0f3f49574e36bb889755285a708ca716ee0fbcc"/>
    <w:p>
      <w:pPr>
        <w:pStyle w:val="Heading2"/>
      </w:pPr>
      <w:r>
        <w:t xml:space="preserve">2.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r>
              <w:t xml:space="preserve">Vision and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r>
              <w:t xml:space="preserve">Software Test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29148:2018</w:t>
            </w:r>
          </w:p>
        </w:tc>
        <w:tc>
          <w:tcPr/>
          <w:p>
            <w:pPr>
              <w:pStyle w:val="Compact"/>
            </w:pPr>
            <w:r>
              <w:t xml:space="preserve">Systems and software engineering, life cycle processes, requirements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Software testing, test 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9457</w:t>
            </w:r>
          </w:p>
        </w:tc>
        <w:tc>
          <w:tcPr/>
          <w:p>
            <w:pPr>
              <w:pStyle w:val="Compact"/>
            </w:pPr>
            <w:r>
              <w:t xml:space="preserve">Problem Details for HTTP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arc42 v9</w:t>
            </w:r>
          </w:p>
        </w:tc>
        <w:tc>
          <w:tcPr/>
          <w:p>
            <w:pPr>
              <w:pStyle w:val="Compact"/>
            </w:pPr>
            <w:r>
              <w:t xml:space="preserve">Architecture documentation template</w:t>
            </w:r>
          </w:p>
        </w:tc>
      </w:tr>
    </w:tbl>
    <w:bookmarkEnd w:id="19"/>
    <w:bookmarkStart w:id="51" w:name="X5dda2b241dc00e3ec14c03b46419d3c5696914f"/>
    <w:p>
      <w:pPr>
        <w:pStyle w:val="Heading2"/>
      </w:pPr>
      <w:r>
        <w:t xml:space="preserve">3. Specific requirements</w:t>
      </w:r>
    </w:p>
    <w:p>
      <w:pPr>
        <w:pStyle w:val="FirstParagraph"/>
      </w:pPr>
      <w:r>
        <w:t xml:space="preserve">Requirements use</w:t>
      </w:r>
      <w:r>
        <w:t xml:space="preserve"> </w:t>
      </w:r>
      <w:r>
        <w:rPr>
          <w:rStyle w:val="VerbatimChar"/>
        </w:rPr>
        <w:t xml:space="preserve">shall</w:t>
      </w:r>
      <w:r>
        <w:t xml:space="preserve"> </w:t>
      </w:r>
      <w:r>
        <w:t xml:space="preserve">for mandatory behaviour. Each is uniquely identified, individually</w:t>
      </w:r>
      <w:r>
        <w:t xml:space="preserve"> </w:t>
      </w:r>
      <w:r>
        <w:t xml:space="preserve">verifiable, and traced in section 4.</w:t>
      </w:r>
    </w:p>
    <w:p>
      <w:pPr>
        <w:pStyle w:val="BodyText"/>
      </w:pPr>
      <w:r>
        <w:t xml:space="preserve">Priority values follow MoSCoW: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must,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should,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could,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will not.</w:t>
      </w:r>
    </w:p>
    <w:bookmarkStart w:id="31" w:name="Xb272baa9c7da08acafbe4231c3a3f65dfdcf9ef"/>
    <w:p>
      <w:pPr>
        <w:pStyle w:val="Heading3"/>
      </w:pPr>
      <w:r>
        <w:t xml:space="preserve">3.1 Functions</w:t>
      </w:r>
    </w:p>
    <w:bookmarkStart w:id="20" w:name="X5493e618e1e021e0d912f1340cbb5594f3429f2"/>
    <w:p>
      <w:pPr>
        <w:pStyle w:val="Heading4"/>
      </w:pPr>
      <w:r>
        <w:t xml:space="preserve">3.1.1 Requirement intake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The system shall accept a requirement consisting of natural-language text, a requirement type, and optional supplementary context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FR-1.1</w:t>
            </w:r>
          </w:p>
        </w:tc>
        <w:tc>
          <w:tcPr/>
          <w:p>
            <w:pPr>
              <w:pStyle w:val="Compact"/>
            </w:pPr>
            <w:r>
              <w:t xml:space="preserve">The system shall reject a requirement whose text is empty or exceeds the configured length limit, returning a message identifying the violated constraint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FR-1.2</w:t>
            </w:r>
          </w:p>
        </w:tc>
        <w:tc>
          <w:tcPr/>
          <w:p>
            <w:pPr>
              <w:pStyle w:val="Compact"/>
            </w:pPr>
            <w:r>
              <w:t xml:space="preserve">The system shall persist every accepted requirement together with its submission timestamp and the identifier of the configuration version in force at submission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0"/>
    <w:bookmarkStart w:id="21" w:name="Xfd7f9e7e2ab3eec733a050414521a13d794bcb3"/>
    <w:p>
      <w:pPr>
        <w:pStyle w:val="Heading4"/>
      </w:pPr>
      <w:r>
        <w:t xml:space="preserve">3.1.2 Test plan generation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The system shall generate a test plan conforming to the versioned test plan schema, using constrained decoding to enforce structural validity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FR-2.1</w:t>
            </w:r>
          </w:p>
        </w:tc>
        <w:tc>
          <w:tcPr/>
          <w:p>
            <w:pPr>
              <w:pStyle w:val="Compact"/>
            </w:pPr>
            <w:r>
              <w:t xml:space="preserve">The system shall record the schema version against every generated plan and shall remain able to read plans produced under earlier schema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FR-2.2</w:t>
            </w:r>
          </w:p>
        </w:tc>
        <w:tc>
          <w:tcPr/>
          <w:p>
            <w:pPr>
              <w:pStyle w:val="Compact"/>
            </w:pPr>
            <w:r>
              <w:t xml:space="preserve">Where a generated plan fails schema validation, the system shall attempt a bounded number of repair retries before recording the task as failed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FR-2.3</w:t>
            </w:r>
          </w:p>
        </w:tc>
        <w:tc>
          <w:tcPr/>
          <w:p>
            <w:pPr>
              <w:pStyle w:val="Compact"/>
            </w:pPr>
            <w:r>
              <w:t xml:space="preserve">The system shall record every generation attempt, whether successful or not, against the validity metric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FR-2.4</w:t>
            </w:r>
          </w:p>
        </w:tc>
        <w:tc>
          <w:tcPr/>
          <w:p>
            <w:pPr>
              <w:pStyle w:val="Compact"/>
            </w:pPr>
            <w:r>
              <w:t xml:space="preserve">Where the assembled prompt would exceed the available context budget, the system shall reduce retrieved memory content before reducing requirement content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1"/>
    <w:bookmarkStart w:id="22" w:name="X667ab99f55907ffddd3bab9a5c86ec7efecc2fb"/>
    <w:p>
      <w:pPr>
        <w:pStyle w:val="Heading4"/>
      </w:pPr>
      <w:r>
        <w:t xml:space="preserve">3.1.3 Strategy selection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The system shall select one playbook per task from at least two available playbooks, using recorded outcome scores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FR-3.1</w:t>
            </w:r>
          </w:p>
        </w:tc>
        <w:tc>
          <w:tcPr/>
          <w:p>
            <w:pPr>
              <w:pStyle w:val="Compact"/>
            </w:pPr>
            <w:r>
              <w:t xml:space="preserve">The system shall apply bounded random exploration at a configurable rate with a non-zero lower bound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FR-3.2</w:t>
            </w:r>
          </w:p>
        </w:tc>
        <w:tc>
          <w:tcPr/>
          <w:p>
            <w:pPr>
              <w:pStyle w:val="Compact"/>
            </w:pPr>
            <w:r>
              <w:t xml:space="preserve">The system shall apply a static default playbook where the observation count for a requirement type is below the configured minimum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FR-3.3</w:t>
            </w:r>
          </w:p>
        </w:tc>
        <w:tc>
          <w:tcPr/>
          <w:p>
            <w:pPr>
              <w:pStyle w:val="Compact"/>
            </w:pPr>
            <w:r>
              <w:t xml:space="preserve">The system shall constrain each outcome score update to a bounded step and shall clamp scores to the interval [-1, +1]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FR-3.4</w:t>
            </w:r>
          </w:p>
        </w:tc>
        <w:tc>
          <w:tcPr/>
          <w:p>
            <w:pPr>
              <w:pStyle w:val="Compact"/>
            </w:pPr>
            <w:r>
              <w:t xml:space="preserve">The system shall record whether a given selection was exploratory, and shall present that fact in the user interface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FR-3.5</w:t>
            </w:r>
          </w:p>
        </w:tc>
        <w:tc>
          <w:tcPr/>
          <w:p>
            <w:pPr>
              <w:pStyle w:val="Compact"/>
            </w:pPr>
            <w:r>
              <w:t xml:space="preserve">The system shall be able to recompute all outcome scores from the recorded feedback event history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2"/>
    <w:bookmarkStart w:id="23" w:name="Xd68cb83ac1b3c902fee217cce730e9ab5bf4902"/>
    <w:p>
      <w:pPr>
        <w:pStyle w:val="Heading4"/>
      </w:pPr>
      <w:r>
        <w:t xml:space="preserve">3.1.4 Memory retrieval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The system shall retrieve stored memories ranked by a weighted combination of semantic similarity, recency, and confidence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FR-4.1</w:t>
            </w:r>
          </w:p>
        </w:tc>
        <w:tc>
          <w:tcPr/>
          <w:p>
            <w:pPr>
              <w:pStyle w:val="Compact"/>
            </w:pPr>
            <w:r>
              <w:t xml:space="preserve">The system shall apply requirement type and tenant as filters prior to ranking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FR-4.2</w:t>
            </w:r>
          </w:p>
        </w:tc>
        <w:tc>
          <w:tcPr/>
          <w:p>
            <w:pPr>
              <w:pStyle w:val="Compact"/>
            </w:pPr>
            <w:r>
              <w:t xml:space="preserve">The system shall return memories marked as pinned and in scope irrespective of their rank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FR-4.3</w:t>
            </w:r>
          </w:p>
        </w:tc>
        <w:tc>
          <w:tcPr/>
          <w:p>
            <w:pPr>
              <w:pStyle w:val="Compact"/>
            </w:pPr>
            <w:r>
              <w:t xml:space="preserve">The system shall exclude memories scoring below the configured relevance threshold, and shall record the exclusion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FR-4.4</w:t>
            </w:r>
          </w:p>
        </w:tc>
        <w:tc>
          <w:tcPr/>
          <w:p>
            <w:pPr>
              <w:pStyle w:val="Compact"/>
            </w:pPr>
            <w:r>
              <w:t xml:space="preserve">The system shall present each applied memory to the user together with its component and combined scores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FR-4.5</w:t>
            </w:r>
          </w:p>
        </w:tc>
        <w:tc>
          <w:tcPr/>
          <w:p>
            <w:pPr>
              <w:pStyle w:val="Compact"/>
            </w:pPr>
            <w:r>
              <w:t xml:space="preserve">Where retrieval returns no memory above threshold, the system shall proceed using playbook defaults and shall state that no prior lesson was applied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FR-4.6</w:t>
            </w:r>
          </w:p>
        </w:tc>
        <w:tc>
          <w:tcPr/>
          <w:p>
            <w:pPr>
              <w:pStyle w:val="Compact"/>
            </w:pPr>
            <w:r>
              <w:t xml:space="preserve">Where the embedding service is unavailable, the system shall fail the task with an explicit cause and shall not proceed with an empty retrieval result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3"/>
    <w:bookmarkStart w:id="24" w:name="X70fb90379ae88a135be0f9ad7580f16e371e9e7"/>
    <w:p>
      <w:pPr>
        <w:pStyle w:val="Heading4"/>
      </w:pPr>
      <w:r>
        <w:t xml:space="preserve">3.1.5 Feedback capture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The system shall record accept, edit, reject, and addition events against individual test cases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FR-5.1</w:t>
            </w:r>
          </w:p>
        </w:tc>
        <w:tc>
          <w:tcPr/>
          <w:p>
            <w:pPr>
              <w:pStyle w:val="Compact"/>
            </w:pPr>
            <w:r>
              <w:t xml:space="preserve">The system shall accept an optional freeform correction against a task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FR-5.2</w:t>
            </w:r>
          </w:p>
        </w:tc>
        <w:tc>
          <w:tcPr/>
          <w:p>
            <w:pPr>
              <w:pStyle w:val="Compact"/>
            </w:pPr>
            <w:r>
              <w:t xml:space="preserve">The system shall retain the originally generated text of an edited case alongside the edited 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FR-5.3</w:t>
            </w:r>
          </w:p>
        </w:tc>
        <w:tc>
          <w:tcPr/>
          <w:p>
            <w:pPr>
              <w:pStyle w:val="Compact"/>
            </w:pPr>
            <w:r>
              <w:t xml:space="preserve">The system shall normalize each feedback event to a score in the interval [-1, +1] using a versioned weighting scheme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FR-5.4</w:t>
            </w:r>
          </w:p>
        </w:tc>
        <w:tc>
          <w:tcPr/>
          <w:p>
            <w:pPr>
              <w:pStyle w:val="Compact"/>
            </w:pPr>
            <w:r>
              <w:t xml:space="preserve">The system shall treat feedback events as immutable once written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4"/>
    <w:bookmarkStart w:id="25" w:name="X1bb5d547ce0b2bdce06de13e2f1f1f4d3c678c8"/>
    <w:p>
      <w:pPr>
        <w:pStyle w:val="Heading4"/>
      </w:pPr>
      <w:r>
        <w:t xml:space="preserve">3.1.6 Memory extraction and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The system shall derive candidate rules from freeform corrections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FR-6.1</w:t>
            </w:r>
          </w:p>
        </w:tc>
        <w:tc>
          <w:tcPr/>
          <w:p>
            <w:pPr>
              <w:pStyle w:val="Compact"/>
            </w:pPr>
            <w:r>
              <w:t xml:space="preserve">The system shall reject a candidate that is not generalizable, is not actionable, claims a scope broader than its evidence, exceeds the configured length limit, or is empty of semantic content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FR-6.2</w:t>
            </w:r>
          </w:p>
        </w:tc>
        <w:tc>
          <w:tcPr/>
          <w:p>
            <w:pPr>
              <w:pStyle w:val="Compact"/>
            </w:pPr>
            <w:r>
              <w:t xml:space="preserve">The system shall flag for review any candidate whose text is shaped as an instruction directed at the system, and shall not store such a candidate without explicit user action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FR-6.3</w:t>
            </w:r>
          </w:p>
        </w:tc>
        <w:tc>
          <w:tcPr/>
          <w:p>
            <w:pPr>
              <w:pStyle w:val="Compact"/>
            </w:pPr>
            <w:r>
              <w:t xml:space="preserve">The system shall not store any memory without explicit user confirmation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FR-6.4</w:t>
            </w:r>
          </w:p>
        </w:tc>
        <w:tc>
          <w:tcPr/>
          <w:p>
            <w:pPr>
              <w:pStyle w:val="Compact"/>
            </w:pPr>
            <w:r>
              <w:t xml:space="preserve">The system shall detect near-duplicate candidates and shall reinforce the existing memory rather than creating a second record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FR-6.5</w:t>
            </w:r>
          </w:p>
        </w:tc>
        <w:tc>
          <w:tcPr/>
          <w:p>
            <w:pPr>
              <w:pStyle w:val="Compact"/>
            </w:pPr>
            <w:r>
              <w:t xml:space="preserve">The system shall detect a candidate that contradicts an existing in-scope memory and shall present both to the user for resolution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FR-6.6</w:t>
            </w:r>
          </w:p>
        </w:tc>
        <w:tc>
          <w:tcPr/>
          <w:p>
            <w:pPr>
              <w:pStyle w:val="Compact"/>
            </w:pPr>
            <w:r>
              <w:t xml:space="preserve">Where extraction fails, the system shall retain the original correction text for later processing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FR-6.7</w:t>
            </w:r>
          </w:p>
        </w:tc>
        <w:tc>
          <w:tcPr/>
          <w:p>
            <w:pPr>
              <w:pStyle w:val="Compact"/>
            </w:pPr>
            <w:r>
              <w:t xml:space="preserve">The system shall record provenance against every stored memory, identifying the originating task, correction, and timestamp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5"/>
    <w:bookmarkStart w:id="26" w:name="X4fc769eeb10cf0c5a36796ec25004a6b857643a"/>
    <w:p>
      <w:pPr>
        <w:pStyle w:val="Heading4"/>
      </w:pPr>
      <w:r>
        <w:t xml:space="preserve">3.1.7 Memory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browse stored memories, filtered by scope, status, and pinned state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FR-7.1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edit the text, scope, and pinned state of a stored memory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FR-7.2</w:t>
            </w:r>
          </w:p>
        </w:tc>
        <w:tc>
          <w:tcPr/>
          <w:p>
            <w:pPr>
              <w:pStyle w:val="Compact"/>
            </w:pPr>
            <w:r>
              <w:t xml:space="preserve">The system shall re-derive the embedding and reset confidence to its initial value when memory text is edited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FR-7.3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delete a stored memory, removing its content and rendering it unretrievable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FR-7.4</w:t>
            </w:r>
          </w:p>
        </w:tc>
        <w:tc>
          <w:tcPr/>
          <w:p>
            <w:pPr>
              <w:pStyle w:val="Compact"/>
            </w:pPr>
            <w:r>
              <w:t xml:space="preserve">The system shall retain the identifier, timestamps, and tenant of a deleted memory so that historical traces remain coherent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FR-7.5</w:t>
            </w:r>
          </w:p>
        </w:tc>
        <w:tc>
          <w:tcPr/>
          <w:p>
            <w:pPr>
              <w:pStyle w:val="Compact"/>
            </w:pPr>
            <w:r>
              <w:t xml:space="preserve">The system shall reduce the confidence of a memory that remains unapplied over time, and shall archive rather than delete a memory falling below the configured floor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FR-7.6</w:t>
            </w:r>
          </w:p>
        </w:tc>
        <w:tc>
          <w:tcPr/>
          <w:p>
            <w:pPr>
              <w:pStyle w:val="Compact"/>
            </w:pPr>
            <w:r>
              <w:t xml:space="preserve">The system shall link a superseding memory to the memory it replaces and shall retain the superseded record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FR-7.7</w:t>
            </w:r>
          </w:p>
        </w:tc>
        <w:tc>
          <w:tcPr/>
          <w:p>
            <w:pPr>
              <w:pStyle w:val="Compact"/>
            </w:pPr>
            <w:r>
              <w:t xml:space="preserve">The system shall export the complete memory set in a machine-readable format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6"/>
    <w:bookmarkStart w:id="27" w:name="Xf4bcdad1199d06cab25f0381c139f6e3e2884d8"/>
    <w:p>
      <w:pPr>
        <w:pStyle w:val="Heading4"/>
      </w:pPr>
      <w:r>
        <w:t xml:space="preserve">3.1.8 Execution tracing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The system shall persist an execution trace for every task, comprising the playbook selection and rationale, all retrieval results with scores, every model call, and every deterministic check verdict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FR-8.1</w:t>
            </w:r>
          </w:p>
        </w:tc>
        <w:tc>
          <w:tcPr/>
          <w:p>
            <w:pPr>
              <w:pStyle w:val="Compact"/>
            </w:pPr>
            <w:r>
              <w:t xml:space="preserve">The system shall record retrieval scores for candidate memories that were evaluated but not selected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FR-8.2</w:t>
            </w:r>
          </w:p>
        </w:tc>
        <w:tc>
          <w:tcPr/>
          <w:p>
            <w:pPr>
              <w:pStyle w:val="Compact"/>
            </w:pPr>
            <w:r>
              <w:t xml:space="preserve">The system shall record prompt token count, completion token count, latency, attempt number, and validity outcome for each model call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FR-8.3</w:t>
            </w:r>
          </w:p>
        </w:tc>
        <w:tc>
          <w:tcPr/>
          <w:p>
            <w:pPr>
              <w:pStyle w:val="Compact"/>
            </w:pPr>
            <w:r>
              <w:t xml:space="preserve">The system shall write trace steps as they complete, such that a task failing part-way retains the trace of all completed steps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FR-8.4</w:t>
            </w:r>
          </w:p>
        </w:tc>
        <w:tc>
          <w:tcPr/>
          <w:p>
            <w:pPr>
              <w:pStyle w:val="Compact"/>
            </w:pPr>
            <w:r>
              <w:t xml:space="preserve">The system shall store a cryptographic digest of each prompt in place of the prompt 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7"/>
    <w:bookmarkStart w:id="28" w:name="X60c8304d4d61977d7b32de412e3f183ca09be04"/>
    <w:p>
      <w:pPr>
        <w:pStyle w:val="Heading4"/>
      </w:pPr>
      <w:r>
        <w:t xml:space="preserve">3.1.9 Evaluation and configuration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The system shall compute and persist the metrics defined in NOVA-STP-001 for each task and each evaluation run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FR-9.1</w:t>
            </w:r>
          </w:p>
        </w:tc>
        <w:tc>
          <w:tcPr/>
          <w:p>
            <w:pPr>
              <w:pStyle w:val="Compact"/>
            </w:pPr>
            <w:r>
              <w:t xml:space="preserve">The system shall execute an evaluation suite against a content-hash-versioned dataset and report per-metric aggregates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FR-9.2</w:t>
            </w:r>
          </w:p>
        </w:tc>
        <w:tc>
          <w:tcPr/>
          <w:p>
            <w:pPr>
              <w:pStyle w:val="Compact"/>
            </w:pPr>
            <w:r>
              <w:t xml:space="preserve">The system shall compute the Correction Recurrence Rate as the proportion of previously confirmed corrections that reappear as errors on later structurally similar tasks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The system shall maintain versioned prompt and configuration records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The system shall reject activation of a configuration version that is not linked to a passing evaluation run, and shall enforce this at the data layer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FR-10.2</w:t>
            </w:r>
          </w:p>
        </w:tc>
        <w:tc>
          <w:tcPr/>
          <w:p>
            <w:pPr>
              <w:pStyle w:val="Compact"/>
            </w:pPr>
            <w:r>
              <w:t xml:space="preserve">The system shall retain superseded configuration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8"/>
    <w:bookmarkStart w:id="29" w:name="Xa4d6608c1f007c3f693e9928856c1a698990343"/>
    <w:p>
      <w:pPr>
        <w:pStyle w:val="Heading4"/>
      </w:pPr>
      <w:r>
        <w:t xml:space="preserve">3.1.10 Inference provider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The system shall support multiple inference providers behind a common interface, defaulting to local execution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FR-11.1</w:t>
            </w:r>
          </w:p>
        </w:tc>
        <w:tc>
          <w:tcPr/>
          <w:p>
            <w:pPr>
              <w:pStyle w:val="Compact"/>
            </w:pPr>
            <w:r>
              <w:t xml:space="preserve">The system shall change the active provider only on explicit user action, and shall never substitute a provider automatically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FR-11.2</w:t>
            </w:r>
          </w:p>
        </w:tc>
        <w:tc>
          <w:tcPr/>
          <w:p>
            <w:pPr>
              <w:pStyle w:val="Compact"/>
            </w:pPr>
            <w:r>
              <w:t xml:space="preserve">The system shall display the active provider in the user interface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FR-11.3</w:t>
            </w:r>
          </w:p>
        </w:tc>
        <w:tc>
          <w:tcPr/>
          <w:p>
            <w:pPr>
              <w:pStyle w:val="Compact"/>
            </w:pPr>
            <w:r>
              <w:t xml:space="preserve">The system shall report inference provider reachability through its readiness endpoint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FR-11.4</w:t>
            </w:r>
          </w:p>
        </w:tc>
        <w:tc>
          <w:tcPr/>
          <w:p>
            <w:pPr>
              <w:pStyle w:val="Compact"/>
            </w:pPr>
            <w:r>
              <w:t xml:space="preserve">Where a required model is absent, the system shall return a message naming the model and the action required to obtain it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9"/>
    <w:bookmarkStart w:id="30" w:name="X6fe5d069626f70fb9d18400a9c231dbd1749cf9"/>
    <w:p>
      <w:pPr>
        <w:pStyle w:val="Heading4"/>
      </w:pPr>
      <w:r>
        <w:t xml:space="preserve">3.1.11 Presentation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FR-12</w:t>
            </w:r>
          </w:p>
        </w:tc>
        <w:tc>
          <w:tcPr/>
          <w:p>
            <w:pPr>
              <w:pStyle w:val="Compact"/>
            </w:pPr>
            <w:r>
              <w:t xml:space="preserve">The system shall display accumulated token count and elapsed duration for each completed task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FR-13</w:t>
            </w:r>
          </w:p>
        </w:tc>
        <w:tc>
          <w:tcPr/>
          <w:p>
            <w:pPr>
              <w:pStyle w:val="Compact"/>
            </w:pPr>
            <w:r>
              <w:t xml:space="preserve">The system shall export a test plan in Markdown and comma-separated value formats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FR-14</w:t>
            </w:r>
          </w:p>
        </w:tc>
        <w:tc>
          <w:tcPr/>
          <w:p>
            <w:pPr>
              <w:pStyle w:val="Compact"/>
            </w:pPr>
            <w:r>
              <w:t xml:space="preserve">The system shall present two executions of the same requirement in a comparison view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FR-15</w:t>
            </w:r>
          </w:p>
        </w:tc>
        <w:tc>
          <w:tcPr/>
          <w:p>
            <w:pPr>
              <w:pStyle w:val="Compact"/>
            </w:pPr>
            <w:r>
              <w:t xml:space="preserve">The system shall support memory sharing between users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30"/>
    <w:bookmarkEnd w:id="31"/>
    <w:bookmarkStart w:id="33" w:name="X32b038b48c00c31350b355400c98e34d6cfea44"/>
    <w:p>
      <w:pPr>
        <w:pStyle w:val="Heading3"/>
      </w:pPr>
      <w:r>
        <w:t xml:space="preserve">3.2 Performance requirements</w:t>
      </w:r>
    </w:p>
    <w:p>
      <w:pPr>
        <w:pStyle w:val="FirstParagraph"/>
      </w:pPr>
      <w:r>
        <w:t xml:space="preserve">Targets marked</w:t>
      </w:r>
      <w:r>
        <w:t xml:space="preserve"> </w:t>
      </w:r>
      <w:r>
        <w:rPr>
          <w:i/>
          <w:iCs/>
        </w:rPr>
        <w:t xml:space="preserve">provisional</w:t>
      </w:r>
      <w:r>
        <w:t xml:space="preserve"> </w:t>
      </w:r>
      <w:r>
        <w:t xml:space="preserve">are set from judgment and are subject to revision once the corresponding</w:t>
      </w:r>
      <w:r>
        <w:t xml:space="preserve"> </w:t>
      </w:r>
      <w:r>
        <w:t xml:space="preserve">measurement exists. Where a measurement exists it is cited.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t xml:space="preserve">Structured output shall be schema-valid on first attempt</w:t>
            </w:r>
          </w:p>
        </w:tc>
        <w:tc>
          <w:tcPr/>
          <w:p>
            <w:pPr>
              <w:pStyle w:val="Compact"/>
            </w:pPr>
            <w:r>
              <w:t xml:space="preserve">â‰¥98%</w:t>
            </w:r>
          </w:p>
        </w:tc>
        <w:tc>
          <w:tcPr/>
          <w:p>
            <w:pPr>
              <w:pStyle w:val="Compact"/>
            </w:pPr>
            <w:r>
              <w:t xml:space="preserve">Provisional. 12 of 12 observed over a 12-generation sample. 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spike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End-to-end task duration, 95th percentile</w:t>
            </w:r>
          </w:p>
        </w:tc>
        <w:tc>
          <w:tcPr/>
          <w:p>
            <w:pPr>
              <w:pStyle w:val="Compact"/>
            </w:pPr>
            <w:r>
              <w:t xml:space="preserve">â‰¤90 s</w:t>
            </w:r>
          </w:p>
        </w:tc>
        <w:tc>
          <w:tcPr/>
          <w:p>
            <w:pPr>
              <w:pStyle w:val="Compact"/>
            </w:pPr>
            <w:r>
              <w:t xml:space="preserve">Provisional and known to be slack. Generation alone measured 9 to 26 s warm on the reference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t xml:space="preserve">Memory retrieval duration, 95th percentile</w:t>
            </w:r>
          </w:p>
        </w:tc>
        <w:tc>
          <w:tcPr/>
          <w:p>
            <w:pPr>
              <w:pStyle w:val="Compact"/>
            </w:pPr>
            <w:r>
              <w:t xml:space="preserve">â‰¤200 ms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t xml:space="preserve">Evaluation suite total duration</w:t>
            </w:r>
          </w:p>
        </w:tc>
        <w:tc>
          <w:tcPr/>
          <w:p>
            <w:pPr>
              <w:pStyle w:val="Compact"/>
            </w:pPr>
            <w:r>
              <w:t xml:space="preserve">â‰¤15 min</w:t>
            </w:r>
          </w:p>
        </w:tc>
        <w:tc>
          <w:tcPr/>
          <w:p>
            <w:pPr>
              <w:pStyle w:val="Compact"/>
            </w:pPr>
            <w:r>
              <w:t xml:space="preserve">Provisional. Cold model load is a material contributor and shall be reported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t xml:space="preserve">Inference provider call failure rate</w:t>
            </w:r>
          </w:p>
        </w:tc>
        <w:tc>
          <w:tcPr/>
          <w:p>
            <w:pPr>
              <w:pStyle w:val="Compact"/>
            </w:pPr>
            <w:r>
              <w:t xml:space="preserve">â‰¤2%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</w:tr>
    </w:tbl>
    <w:p>
      <w:pPr>
        <w:pStyle w:val="BodyText"/>
      </w:pPr>
      <w:r>
        <w:t xml:space="preserve">Reference configuration for all timing requirements: NVIDIA RTX 4050 Laptop, 6 GB VRAM, 4B-parameter</w:t>
      </w:r>
      <w:r>
        <w:t xml:space="preserve"> </w:t>
      </w:r>
      <w:r>
        <w:t xml:space="preserve">model at 4-bit quantization, 8192-token context. Timing requirements are void without this</w:t>
      </w:r>
      <w:r>
        <w:t xml:space="preserve"> </w:t>
      </w:r>
      <w:r>
        <w:t xml:space="preserve">qualification.</w:t>
      </w:r>
    </w:p>
    <w:bookmarkEnd w:id="33"/>
    <w:bookmarkStart w:id="34" w:name="Xf2e44ce271ae5be91098f828f4bb63d5a40db99"/>
    <w:p>
      <w:pPr>
        <w:pStyle w:val="Heading3"/>
      </w:pPr>
      <w:r>
        <w:t xml:space="preserve">3.3 Usability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The user interface shall remain responsive to interaction while a task is executing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The system shall present task status such that a queued, running, failed, or cancelled task is distinguishable without ambiguity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The system shall permit cancellation of a running task, retaining the partial trace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NFR-9</w:t>
            </w:r>
          </w:p>
        </w:tc>
        <w:tc>
          <w:tcPr/>
          <w:p>
            <w:pPr>
              <w:pStyle w:val="Compact"/>
            </w:pPr>
            <w:r>
              <w:t xml:space="preserve">Error messages presented to the user shall identify the failing step and the corrective action where one exists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34"/>
    <w:bookmarkStart w:id="38" w:name="Xc20cd5b2358c935dcca79478583e1d8e67e5ec7"/>
    <w:p>
      <w:pPr>
        <w:pStyle w:val="Heading3"/>
      </w:pPr>
      <w:r>
        <w:t xml:space="preserve">3.4 Interface requirements</w:t>
      </w:r>
    </w:p>
    <w:bookmarkStart w:id="35" w:name="X627f400d9f6722c0c2a49bf3eebef24320554b6"/>
    <w:p>
      <w:pPr>
        <w:pStyle w:val="Heading4"/>
      </w:pPr>
      <w:r>
        <w:t xml:space="preserve">3.4.1 User interfaces</w:t>
      </w:r>
    </w:p>
    <w:p>
      <w:pPr>
        <w:pStyle w:val="FirstParagraph"/>
      </w:pPr>
      <w:r>
        <w:t xml:space="preserve">Four views: task submission and results, execution trace, memory management, and evaluation results.</w:t>
      </w:r>
      <w:r>
        <w:t xml:space="preserve"> </w:t>
      </w:r>
      <w:r>
        <w:t xml:space="preserve">Rendered in a current desktop browser. No mobile layout is provided.</w:t>
      </w:r>
    </w:p>
    <w:bookmarkEnd w:id="35"/>
    <w:bookmarkStart w:id="36" w:name="Xc6640bf348c065297e2346465fa642f8a7b3c0c"/>
    <w:p>
      <w:pPr>
        <w:pStyle w:val="Heading4"/>
      </w:pPr>
      <w:r>
        <w:t xml:space="preserve">3.4.2 Application programming interfaces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NFR-10</w:t>
            </w:r>
          </w:p>
        </w:tc>
        <w:tc>
          <w:tcPr/>
          <w:p>
            <w:pPr>
              <w:pStyle w:val="Compact"/>
            </w:pPr>
            <w:r>
              <w:t xml:space="preserve">The system shall expose a versioned HTTP interface under a path prefix, admitting only additive change within a version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NFR-11</w:t>
            </w:r>
          </w:p>
        </w:tc>
        <w:tc>
          <w:tcPr/>
          <w:p>
            <w:pPr>
              <w:pStyle w:val="Compact"/>
            </w:pPr>
            <w:r>
              <w:t xml:space="preserve">The system shall return errors in the format defined by RFC 9457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NFR-12</w:t>
            </w:r>
          </w:p>
        </w:tc>
        <w:tc>
          <w:tcPr/>
          <w:p>
            <w:pPr>
              <w:pStyle w:val="Compact"/>
            </w:pPr>
            <w:r>
              <w:t xml:space="preserve">The system shall honour an idempotency key on task creation, returning the original task identifier on replay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NFR-13</w:t>
            </w:r>
          </w:p>
        </w:tc>
        <w:tc>
          <w:tcPr/>
          <w:p>
            <w:pPr>
              <w:pStyle w:val="Compact"/>
            </w:pPr>
            <w:r>
              <w:t xml:space="preserve">The system shall paginate collection responses using opaque cursors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NFR-14</w:t>
            </w:r>
          </w:p>
        </w:tc>
        <w:tc>
          <w:tcPr/>
          <w:p>
            <w:pPr>
              <w:pStyle w:val="Compact"/>
            </w:pPr>
            <w:r>
              <w:t xml:space="preserve">The system shall publish an interface description generated from its request and response models, and shall fail its build where the published description diverges from the generated one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36"/>
    <w:bookmarkStart w:id="37" w:name="Xd670f48a0c2e3838f62bdcf3736a4474d60d65f"/>
    <w:p>
      <w:pPr>
        <w:pStyle w:val="Heading4"/>
      </w:pPr>
      <w:r>
        <w:t xml:space="preserve">3.4.3 External interfaces</w:t>
      </w:r>
    </w:p>
    <w:p>
      <w:pPr>
        <w:pStyle w:val="FirstParagraph"/>
      </w:pPr>
      <w:r>
        <w:t xml:space="preserve">The inference runtime is addressed over HTTP on the host loopback interface. The system supplies a</w:t>
      </w:r>
      <w:r>
        <w:t xml:space="preserve"> </w:t>
      </w:r>
      <w:r>
        <w:t xml:space="preserve">JSON Schema with each generation request and receives a schema-conformant completion together with</w:t>
      </w:r>
      <w:r>
        <w:t xml:space="preserve"> </w:t>
      </w:r>
      <w:r>
        <w:t xml:space="preserve">token and timing telemetry.</w:t>
      </w:r>
    </w:p>
    <w:bookmarkEnd w:id="37"/>
    <w:bookmarkEnd w:id="38"/>
    <w:bookmarkStart w:id="41" w:name="X5186f755aa9d513905c562c5a506aba4be5b3e2"/>
    <w:p>
      <w:pPr>
        <w:pStyle w:val="Heading3"/>
      </w:pPr>
      <w:r>
        <w:t xml:space="preserve">3.5 System operations</w:t>
      </w:r>
    </w:p>
    <w:bookmarkStart w:id="39" w:name="Xd0629bd96af55a68172962e5050289e9d10eb81"/>
    <w:p>
      <w:pPr>
        <w:pStyle w:val="Heading4"/>
      </w:pPr>
      <w:r>
        <w:t xml:space="preserve">3.5.1 Nominal operation</w:t>
      </w:r>
    </w:p>
    <w:p>
      <w:pPr>
        <w:pStyle w:val="Compact"/>
        <w:numPr>
          <w:ilvl w:val="0"/>
          <w:numId w:val="1001"/>
        </w:numPr>
      </w:pPr>
      <w:r>
        <w:t xml:space="preserve">The user submits a requirement with its type.</w:t>
      </w:r>
    </w:p>
    <w:p>
      <w:pPr>
        <w:pStyle w:val="Compact"/>
        <w:numPr>
          <w:ilvl w:val="0"/>
          <w:numId w:val="1001"/>
        </w:numPr>
      </w:pPr>
      <w:r>
        <w:t xml:space="preserve">The system validates the submission, persists it, enqueues a job, and returns a task identifier</w:t>
      </w:r>
      <w:r>
        <w:t xml:space="preserve"> </w:t>
      </w:r>
      <w:r>
        <w:t xml:space="preserve">without waiting for execution.</w:t>
      </w:r>
    </w:p>
    <w:p>
      <w:pPr>
        <w:pStyle w:val="Compact"/>
        <w:numPr>
          <w:ilvl w:val="0"/>
          <w:numId w:val="1001"/>
        </w:numPr>
      </w:pPr>
      <w:r>
        <w:t xml:space="preserve">A worker claims the job, reads the active configuration version, selects a playbook, retrieves</w:t>
      </w:r>
      <w:r>
        <w:t xml:space="preserve"> </w:t>
      </w:r>
      <w:r>
        <w:t xml:space="preserve">applicable memories, generates a plan under schema constraint, applies deterministic checks and a</w:t>
      </w:r>
      <w:r>
        <w:t xml:space="preserve"> </w:t>
      </w:r>
      <w:r>
        <w:t xml:space="preserve">bounded model-based review, and persists the plan and trace.</w:t>
      </w:r>
    </w:p>
    <w:p>
      <w:pPr>
        <w:pStyle w:val="Compact"/>
        <w:numPr>
          <w:ilvl w:val="0"/>
          <w:numId w:val="1001"/>
        </w:numPr>
      </w:pPr>
      <w:r>
        <w:t xml:space="preserve">The user reviews the plan alongside the applied lessons and their scores.</w:t>
      </w:r>
    </w:p>
    <w:p>
      <w:pPr>
        <w:pStyle w:val="Compact"/>
        <w:numPr>
          <w:ilvl w:val="0"/>
          <w:numId w:val="1001"/>
        </w:numPr>
      </w:pPr>
      <w:r>
        <w:t xml:space="preserve">The user records accept, edit, or reject against individual cases, and may supply a freeform</w:t>
      </w:r>
      <w:r>
        <w:t xml:space="preserve"> </w:t>
      </w:r>
      <w:r>
        <w:t xml:space="preserve">correction.</w:t>
      </w:r>
    </w:p>
    <w:p>
      <w:pPr>
        <w:pStyle w:val="Compact"/>
        <w:numPr>
          <w:ilvl w:val="0"/>
          <w:numId w:val="1001"/>
        </w:numPr>
      </w:pPr>
      <w:r>
        <w:t xml:space="preserve">The system derives candidate rules and presents them for confirmation.</w:t>
      </w:r>
    </w:p>
    <w:p>
      <w:pPr>
        <w:pStyle w:val="Compact"/>
        <w:numPr>
          <w:ilvl w:val="0"/>
          <w:numId w:val="1001"/>
        </w:numPr>
      </w:pPr>
      <w:r>
        <w:t xml:space="preserve">On confirmation, the system embeds and stores each rule.</w:t>
      </w:r>
    </w:p>
    <w:p>
      <w:pPr>
        <w:pStyle w:val="Compact"/>
        <w:numPr>
          <w:ilvl w:val="0"/>
          <w:numId w:val="1001"/>
        </w:numPr>
      </w:pPr>
      <w:r>
        <w:t xml:space="preserve">On a subsequent structurally similar requirement, the stored rules are retrieved and applied, and</w:t>
      </w:r>
      <w:r>
        <w:t xml:space="preserve"> </w:t>
      </w:r>
      <w:r>
        <w:t xml:space="preserve">are shown as applied lessons.</w:t>
      </w:r>
    </w:p>
    <w:bookmarkEnd w:id="39"/>
    <w:bookmarkStart w:id="40" w:name="Xe958f51c32d36e5daf54445e1f61e3e052dffba"/>
    <w:p>
      <w:pPr>
        <w:pStyle w:val="Heading4"/>
      </w:pPr>
      <w:r>
        <w:t xml:space="preserve">3.5.2 Exception operation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Required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</w:t>
            </w:r>
          </w:p>
        </w:tc>
        <w:tc>
          <w:tcPr/>
          <w:p>
            <w:pPr>
              <w:pStyle w:val="Compact"/>
            </w:pPr>
            <w:r>
              <w:t xml:space="preserve">Memory store empty</w:t>
            </w:r>
          </w:p>
        </w:tc>
        <w:tc>
          <w:tcPr/>
          <w:p>
            <w:pPr>
              <w:pStyle w:val="Compact"/>
            </w:pPr>
            <w:r>
              <w:t xml:space="preserve">Generate from playbook defaults. State explicitly that no prior lesson was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OP-2</w:t>
            </w:r>
          </w:p>
        </w:tc>
        <w:tc>
          <w:tcPr/>
          <w:p>
            <w:pPr>
              <w:pStyle w:val="Compact"/>
            </w:pPr>
            <w:r>
              <w:t xml:space="preserve">Generated output fails schema validation</w:t>
            </w:r>
          </w:p>
        </w:tc>
        <w:tc>
          <w:tcPr/>
          <w:p>
            <w:pPr>
              <w:pStyle w:val="Compact"/>
            </w:pPr>
            <w:r>
              <w:t xml:space="preserve">Bounded repair retry, then terminal failure with a stated cause. All attempts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OP-3</w:t>
            </w:r>
          </w:p>
        </w:tc>
        <w:tc>
          <w:tcPr/>
          <w:p>
            <w:pPr>
              <w:pStyle w:val="Compact"/>
            </w:pPr>
            <w:r>
              <w:t xml:space="preserve">Inference provider unreachable</w:t>
            </w:r>
          </w:p>
        </w:tc>
        <w:tc>
          <w:tcPr/>
          <w:p>
            <w:pPr>
              <w:pStyle w:val="Compact"/>
            </w:pPr>
            <w:r>
              <w:t xml:space="preserve">Terminal failure with a stated cause. Previously completed results remain accessible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OP-4</w:t>
            </w:r>
          </w:p>
        </w:tc>
        <w:tc>
          <w:tcPr/>
          <w:p>
            <w:pPr>
              <w:pStyle w:val="Compact"/>
            </w:pPr>
            <w:r>
              <w:t xml:space="preserve">Retrieved memories conflict</w:t>
            </w:r>
          </w:p>
        </w:tc>
        <w:tc>
          <w:tcPr/>
          <w:p>
            <w:pPr>
              <w:pStyle w:val="Compact"/>
            </w:pPr>
            <w:r>
              <w:t xml:space="preserve">Present the conflict. Do not resolve it silently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OP-5</w:t>
            </w:r>
          </w:p>
        </w:tc>
        <w:tc>
          <w:tcPr/>
          <w:p>
            <w:pPr>
              <w:pStyle w:val="Compact"/>
            </w:pPr>
            <w:r>
              <w:t xml:space="preserve">Requirement text contains an instruction directed at the system</w:t>
            </w:r>
          </w:p>
        </w:tc>
        <w:tc>
          <w:tcPr/>
          <w:p>
            <w:pPr>
              <w:pStyle w:val="Compact"/>
            </w:pPr>
            <w:r>
              <w:t xml:space="preserve">Treat as data. Neutralize and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OP-6</w:t>
            </w:r>
          </w:p>
        </w:tc>
        <w:tc>
          <w:tcPr/>
          <w:p>
            <w:pPr>
              <w:pStyle w:val="Compact"/>
            </w:pPr>
            <w:r>
              <w:t xml:space="preserve">All cases rejected</w:t>
            </w:r>
          </w:p>
        </w:tc>
        <w:tc>
          <w:tcPr/>
          <w:p>
            <w:pPr>
              <w:pStyle w:val="Compact"/>
            </w:pPr>
            <w:r>
              <w:t xml:space="preserve">Record as a strongly negative outcome. Prompt for a freeform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OP-7</w:t>
            </w:r>
          </w:p>
        </w:tc>
        <w:tc>
          <w:tcPr/>
          <w:p>
            <w:pPr>
              <w:pStyle w:val="Compact"/>
            </w:pPr>
            <w:r>
              <w:t xml:space="preserve">Retrieval returns nothing above threshold</w:t>
            </w:r>
          </w:p>
        </w:tc>
        <w:tc>
          <w:tcPr/>
          <w:p>
            <w:pPr>
              <w:pStyle w:val="Compact"/>
            </w:pPr>
            <w:r>
              <w:t xml:space="preserve">Proceed on defaults. Record the empty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OP-8</w:t>
            </w:r>
          </w:p>
        </w:tc>
        <w:tc>
          <w:tcPr/>
          <w:p>
            <w:pPr>
              <w:pStyle w:val="Compact"/>
            </w:pPr>
            <w:r>
              <w:t xml:space="preserve">A memory in current use is deleted</w:t>
            </w:r>
          </w:p>
        </w:tc>
        <w:tc>
          <w:tcPr/>
          <w:p>
            <w:pPr>
              <w:pStyle w:val="Compact"/>
            </w:pPr>
            <w:r>
              <w:t xml:space="preserve">Honour the deletion immediately and completely. Retain a tombstone reference in historical traces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OP-9</w:t>
            </w:r>
          </w:p>
        </w:tc>
        <w:tc>
          <w:tcPr/>
          <w:p>
            <w:pPr>
              <w:pStyle w:val="Compact"/>
            </w:pPr>
            <w:r>
              <w:t xml:space="preserve">Task exceeds its duration budget</w:t>
            </w:r>
          </w:p>
        </w:tc>
        <w:tc>
          <w:tcPr/>
          <w:p>
            <w:pPr>
              <w:pStyle w:val="Compact"/>
            </w:pPr>
            <w:r>
              <w:t xml:space="preserve">Remain cancellable. Preserve the partial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OP-10</w:t>
            </w:r>
          </w:p>
        </w:tc>
        <w:tc>
          <w:tcPr/>
          <w:p>
            <w:pPr>
              <w:pStyle w:val="Compact"/>
            </w:pPr>
            <w:r>
              <w:t xml:space="preserve">Later feedback contradicts an earlier correction</w:t>
            </w:r>
          </w:p>
        </w:tc>
        <w:tc>
          <w:tcPr/>
          <w:p>
            <w:pPr>
              <w:pStyle w:val="Compact"/>
            </w:pPr>
            <w:r>
              <w:t xml:space="preserve">Apply recency and confidence weighting. Supersede the earlier rule. Do not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OP-11</w:t>
            </w:r>
          </w:p>
        </w:tc>
        <w:tc>
          <w:tcPr/>
          <w:p>
            <w:pPr>
              <w:pStyle w:val="Compact"/>
            </w:pPr>
            <w:r>
              <w:t xml:space="preserve">Worker process terminates during execution</w:t>
            </w:r>
          </w:p>
        </w:tc>
        <w:tc>
          <w:tcPr/>
          <w:p>
            <w:pPr>
              <w:pStyle w:val="Compact"/>
            </w:pPr>
            <w:r>
              <w:t xml:space="preserve">Reclaim the job after lease expiry. Preserve the partial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OP-12</w:t>
            </w:r>
          </w:p>
        </w:tc>
        <w:tc>
          <w:tcPr/>
          <w:p>
            <w:pPr>
              <w:pStyle w:val="Compact"/>
            </w:pPr>
            <w:r>
              <w:t xml:space="preserve">Datastore unreachable</w:t>
            </w:r>
          </w:p>
        </w:tc>
        <w:tc>
          <w:tcPr/>
          <w:p>
            <w:pPr>
              <w:pStyle w:val="Compact"/>
            </w:pPr>
            <w:r>
              <w:t xml:space="preserve">Fail fast. Perform no partial writes</w:t>
            </w:r>
          </w:p>
        </w:tc>
      </w:tr>
    </w:tbl>
    <w:bookmarkEnd w:id="40"/>
    <w:bookmarkEnd w:id="41"/>
    <w:bookmarkStart w:id="42" w:name="Xe26705287717f37f1a727500b4e0d65a7d6502c"/>
    <w:p>
      <w:pPr>
        <w:pStyle w:val="Heading3"/>
      </w:pPr>
      <w:r>
        <w:t xml:space="preserve">3.6 System modes and states</w:t>
      </w:r>
    </w:p>
    <w:p>
      <w:pPr>
        <w:pStyle w:val="FirstParagraph"/>
      </w:pPr>
      <w:r>
        <w:t xml:space="preserve">Task states and their permitted transitions: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Permitted successors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</w:tbl>
    <w:p>
      <w:pPr>
        <w:pStyle w:val="BodyText"/>
      </w:pPr>
      <w:r>
        <w:t xml:space="preserve">Memory states: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Permitted successors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</w:tbl>
    <w:p>
      <w:pPr>
        <w:pStyle w:val="BodyText"/>
      </w:pPr>
      <w:r>
        <w:t xml:space="preserve">Configuration version states: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retired</w:t>
      </w:r>
      <w:r>
        <w:t xml:space="preserve">. Transition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requires an associated passing evaluation run.</w:t>
      </w:r>
    </w:p>
    <w:bookmarkEnd w:id="42"/>
    <w:bookmarkStart w:id="43" w:name="Xd58fbc5da812ef4aeed92551d021be9d2877e42"/>
    <w:p>
      <w:pPr>
        <w:pStyle w:val="Heading3"/>
      </w:pPr>
      <w:r>
        <w:t xml:space="preserve">3.7 Physical characteristics</w:t>
      </w:r>
    </w:p>
    <w:p>
      <w:pPr>
        <w:pStyle w:val="FirstParagraph"/>
      </w:pPr>
      <w:r>
        <w:t xml:space="preserve">Not applicable. NOVA is a software-only product with no hardware deliverable.</w:t>
      </w:r>
    </w:p>
    <w:bookmarkEnd w:id="43"/>
    <w:bookmarkStart w:id="44" w:name="Xb4a945eed1c8da008b9c0663e5b2e4c8b54ee32"/>
    <w:p>
      <w:pPr>
        <w:pStyle w:val="Heading3"/>
      </w:pPr>
      <w:r>
        <w:t xml:space="preserve">3.8 Environmental conditions</w:t>
      </w:r>
    </w:p>
    <w:p>
      <w:pPr>
        <w:pStyle w:val="FirstParagraph"/>
      </w:pPr>
      <w:r>
        <w:t xml:space="preserve">The system operates on a single workstation running Windows 11 with a container runtime and a</w:t>
      </w:r>
      <w:r>
        <w:t xml:space="preserve"> </w:t>
      </w:r>
      <w:r>
        <w:t xml:space="preserve">GPU-accelerated inference runtime resident on the host. No requirement is placed on temperature,</w:t>
      </w:r>
      <w:r>
        <w:t xml:space="preserve"> </w:t>
      </w:r>
      <w:r>
        <w:t xml:space="preserve">humidity, shock, or electromagnetic environment.</w:t>
      </w:r>
    </w:p>
    <w:bookmarkEnd w:id="44"/>
    <w:bookmarkStart w:id="46" w:name="X77f9157cc61bb1ddeaf6be6e51434d62510028b"/>
    <w:p>
      <w:pPr>
        <w:pStyle w:val="Heading3"/>
      </w:pPr>
      <w:r>
        <w:t xml:space="preserve">3.9 System security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NFR-15</w:t>
            </w:r>
          </w:p>
        </w:tc>
        <w:tc>
          <w:tcPr/>
          <w:p>
            <w:pPr>
              <w:pStyle w:val="Compact"/>
            </w:pPr>
            <w:r>
              <w:t xml:space="preserve">The system shall associate every user-owned record with a tenant identifier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NFR-16</w:t>
            </w:r>
          </w:p>
        </w:tc>
        <w:tc>
          <w:tcPr/>
          <w:p>
            <w:pPr>
              <w:pStyle w:val="Compact"/>
            </w:pPr>
            <w:r>
              <w:t xml:space="preserve">The system shall apply tenant scoping at the data access layer such that no query path can omit it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NFR-17</w:t>
            </w:r>
          </w:p>
        </w:tc>
        <w:tc>
          <w:tcPr/>
          <w:p>
            <w:pPr>
              <w:pStyle w:val="Compact"/>
            </w:pPr>
            <w:r>
              <w:t xml:space="preserve">The system shall resolve the tenant identifier server-side and shall never accept it from a client-supplied value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NFR-18</w:t>
            </w:r>
          </w:p>
        </w:tc>
        <w:tc>
          <w:tcPr/>
          <w:p>
            <w:pPr>
              <w:pStyle w:val="Compact"/>
            </w:pPr>
            <w:r>
              <w:t xml:space="preserve">The system shall permit zero cross-tenant data disclosure. This requirement admits no tolerance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NFR-19</w:t>
            </w:r>
          </w:p>
        </w:tc>
        <w:tc>
          <w:tcPr/>
          <w:p>
            <w:pPr>
              <w:pStyle w:val="Compact"/>
            </w:pPr>
            <w:r>
              <w:t xml:space="preserve">The system shall treat requirement text, correction text, and model output as untrusted data, delimited and labelled within prompts and never concatenated into instruction context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NFR-20</w:t>
            </w:r>
          </w:p>
        </w:tc>
        <w:tc>
          <w:tcPr/>
          <w:p>
            <w:pPr>
              <w:pStyle w:val="Compact"/>
            </w:pPr>
            <w:r>
              <w:t xml:space="preserve">The system shall provide the inference model with no capability to read files, execute commands, or initiate network requests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NFR-21</w:t>
            </w:r>
          </w:p>
        </w:tc>
        <w:tc>
          <w:tcPr/>
          <w:p>
            <w:pPr>
              <w:pStyle w:val="Compact"/>
            </w:pPr>
            <w:r>
              <w:t xml:space="preserve">The system shall validate all model output against its schema before persistence or presentation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NFR-22</w:t>
            </w:r>
          </w:p>
        </w:tc>
        <w:tc>
          <w:tcPr/>
          <w:p>
            <w:pPr>
              <w:pStyle w:val="Compact"/>
            </w:pPr>
            <w:r>
              <w:t xml:space="preserve">The system shall escape untrusted content on presentation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NFR-23</w:t>
            </w:r>
          </w:p>
        </w:tc>
        <w:tc>
          <w:tcPr/>
          <w:p>
            <w:pPr>
              <w:pStyle w:val="Compact"/>
            </w:pPr>
            <w:r>
              <w:t xml:space="preserve">The system shall exclude requirement text, correction text, and memory content from application logs by default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NFR-24</w:t>
            </w:r>
          </w:p>
        </w:tc>
        <w:tc>
          <w:tcPr/>
          <w:p>
            <w:pPr>
              <w:pStyle w:val="Compact"/>
            </w:pPr>
            <w:r>
              <w:t xml:space="preserve">The system shall bound every retry loop and shall define a terminal state for each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NFR-25</w:t>
            </w:r>
          </w:p>
        </w:tc>
        <w:tc>
          <w:tcPr/>
          <w:p>
            <w:pPr>
              <w:pStyle w:val="Compact"/>
            </w:pPr>
            <w:r>
              <w:t xml:space="preserve">The system shall hold no credential in its default configuration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p>
      <w:pPr>
        <w:pStyle w:val="BodyText"/>
      </w:pPr>
      <w:r>
        <w:t xml:space="preserve">Threat analysis is in</w:t>
      </w:r>
      <w:r>
        <w:t xml:space="preserve"> </w:t>
      </w:r>
      <w:hyperlink r:id="rId45">
        <w:r>
          <w:rPr>
            <w:rStyle w:val="Hyperlink"/>
          </w:rPr>
          <w:t xml:space="preserve">NOVA-TM-001</w:t>
        </w:r>
      </w:hyperlink>
      <w:r>
        <w:t xml:space="preserve">.</w:t>
      </w:r>
    </w:p>
    <w:bookmarkEnd w:id="46"/>
    <w:bookmarkStart w:id="47" w:name="Xc64d93db99a58f6923b40111bc4bc46ff54a52c"/>
    <w:p>
      <w:pPr>
        <w:pStyle w:val="Heading3"/>
      </w:pPr>
      <w:r>
        <w:t xml:space="preserve">3.10 Information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NFR-26</w:t>
            </w:r>
          </w:p>
        </w:tc>
        <w:tc>
          <w:tcPr/>
          <w:p>
            <w:pPr>
              <w:pStyle w:val="Compact"/>
            </w:pPr>
            <w:r>
              <w:t xml:space="preserve">The system shall treat feedback events as the authoritative record and shall derive all outcome scores from them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NFR-27</w:t>
            </w:r>
          </w:p>
        </w:tc>
        <w:tc>
          <w:tcPr/>
          <w:p>
            <w:pPr>
              <w:pStyle w:val="Compact"/>
            </w:pPr>
            <w:r>
              <w:t xml:space="preserve">The system shall retain feedback events independently of the lifecycle of any memory derived from them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NFR-28</w:t>
            </w:r>
          </w:p>
        </w:tc>
        <w:tc>
          <w:tcPr/>
          <w:p>
            <w:pPr>
              <w:pStyle w:val="Compact"/>
            </w:pPr>
            <w:r>
              <w:t xml:space="preserve">The system shall version feedback normalization weights such that historical scores can be recomputed under a revised scheme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NFR-29</w:t>
            </w:r>
          </w:p>
        </w:tc>
        <w:tc>
          <w:tcPr/>
          <w:p>
            <w:pPr>
              <w:pStyle w:val="Compact"/>
            </w:pPr>
            <w:r>
              <w:t xml:space="preserve">The system shall treat execution traces as append-only and immutable once written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NFR-30</w:t>
            </w:r>
          </w:p>
        </w:tc>
        <w:tc>
          <w:tcPr/>
          <w:p>
            <w:pPr>
              <w:pStyle w:val="Compact"/>
            </w:pPr>
            <w:r>
              <w:t xml:space="preserve">The system shall version the evaluation dataset by content hash and shall refuse to compare runs across dataset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NFR-31</w:t>
            </w:r>
          </w:p>
        </w:tc>
        <w:tc>
          <w:tcPr/>
          <w:p>
            <w:pPr>
              <w:pStyle w:val="Compact"/>
            </w:pPr>
            <w:r>
              <w:t xml:space="preserve">The system shall support a documented backup and restore procedure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47"/>
    <w:bookmarkStart w:id="48" w:name="X63a2dfbb8846fb77e2b21eb65fc7410de88c083"/>
    <w:p>
      <w:pPr>
        <w:pStyle w:val="Heading3"/>
      </w:pPr>
      <w:r>
        <w:t xml:space="preserve">3.11 Policies and regulations</w:t>
      </w:r>
    </w:p>
    <w:p>
      <w:pPr>
        <w:pStyle w:val="FirstParagraph"/>
      </w:pPr>
      <w:r>
        <w:t xml:space="preserve">No regulatory regime applies. The system processes synthetic and open-source data only and</w:t>
      </w:r>
      <w:r>
        <w:t xml:space="preserve"> </w:t>
      </w:r>
      <w:r>
        <w:t xml:space="preserve">transmits no data beyond the host in its default configuration. Personally identifiable information</w:t>
      </w:r>
      <w:r>
        <w:t xml:space="preserve"> </w:t>
      </w:r>
      <w:r>
        <w:t xml:space="preserve">detection is not implemented; this is a recorded gap, and its status changes should authentic data</w:t>
      </w:r>
      <w:r>
        <w:t xml:space="preserve"> </w:t>
      </w:r>
      <w:r>
        <w:t xml:space="preserve">enter the system.</w:t>
      </w:r>
    </w:p>
    <w:bookmarkEnd w:id="48"/>
    <w:bookmarkStart w:id="49" w:name="X74ccfddd906ed8f08e9f1867b159f4a3e10fd0d"/>
    <w:p>
      <w:pPr>
        <w:pStyle w:val="Heading3"/>
      </w:pPr>
      <w:r>
        <w:t xml:space="preserve">3.12 System life cycle sustainment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NFR-32</w:t>
            </w:r>
          </w:p>
        </w:tc>
        <w:tc>
          <w:tcPr/>
          <w:p>
            <w:pPr>
              <w:pStyle w:val="Compact"/>
            </w:pPr>
            <w:r>
              <w:t xml:space="preserve">The system shall start from a clean checkout by a single documented command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NFR-33</w:t>
            </w:r>
          </w:p>
        </w:tc>
        <w:tc>
          <w:tcPr/>
          <w:p>
            <w:pPr>
              <w:pStyle w:val="Compact"/>
            </w:pPr>
            <w:r>
              <w:t xml:space="preserve">The system shall apply schema changes through forward-only versioned migrations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NFR-34</w:t>
            </w:r>
          </w:p>
        </w:tc>
        <w:tc>
          <w:tcPr/>
          <w:p>
            <w:pPr>
              <w:pStyle w:val="Compact"/>
            </w:pPr>
            <w:r>
              <w:t xml:space="preserve">The system shall reproduce a prior execution given the same input, random seed, model version, and configuration version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NFR-35</w:t>
            </w:r>
          </w:p>
        </w:tc>
        <w:tc>
          <w:tcPr/>
          <w:p>
            <w:pPr>
              <w:pStyle w:val="Compact"/>
            </w:pPr>
            <w:r>
              <w:t xml:space="preserve">Automated tests covering memory, retrieval, scoring, and validation logic shall achieve at least 80% statement coverage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49"/>
    <w:bookmarkStart w:id="50" w:name="Xee54cbfa69eef1c6d20e86da535e246aeace0fc"/>
    <w:p>
      <w:pPr>
        <w:pStyle w:val="Heading3"/>
      </w:pPr>
      <w:r>
        <w:t xml:space="preserve">3.13 Packaging, handling, shipping, and transportation</w:t>
      </w:r>
    </w:p>
    <w:p>
      <w:pPr>
        <w:pStyle w:val="FirstParagraph"/>
      </w:pPr>
      <w:r>
        <w:t xml:space="preserve">Not applicable.</w:t>
      </w:r>
    </w:p>
    <w:bookmarkEnd w:id="50"/>
    <w:bookmarkEnd w:id="51"/>
    <w:bookmarkStart w:id="52" w:name="X7b2f0bc6051fb8ca69c420c638e30bf16fd9177"/>
    <w:p>
      <w:pPr>
        <w:pStyle w:val="Heading2"/>
      </w:pPr>
      <w:r>
        <w:t xml:space="preserve">4. Verification</w:t>
      </w:r>
    </w:p>
    <w:p>
      <w:pPr>
        <w:pStyle w:val="FirstParagraph"/>
      </w:pPr>
      <w:r>
        <w:t xml:space="preserve">Each requirement is verified by one of: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automated test,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demonstration,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analysis or</w:t>
      </w:r>
      <w:r>
        <w:t xml:space="preserve"> </w:t>
      </w:r>
      <w:r>
        <w:t xml:space="preserve">inspection,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measurement against the evaluation dataset.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 group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Verification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 to FR-2.4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Schema conformance tests; structured output validity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 to FR-3.5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Seeded selection tests; score recomputation test; poisoning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 to FR-4.6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Ranking unit tests; retrieval precision against a labelled relevance set; cross-tenant isolation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 to FR-5.4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Normalization tests across all event types; immutability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 to FR-6.7</w:t>
            </w:r>
          </w:p>
        </w:tc>
        <w:tc>
          <w:tcPr/>
          <w:p>
            <w:pPr>
              <w:pStyle w:val="Compact"/>
            </w:pPr>
            <w:r>
              <w:t xml:space="preserve">T, A, M</w:t>
            </w:r>
          </w:p>
        </w:tc>
        <w:tc>
          <w:tcPr/>
          <w:p>
            <w:pPr>
              <w:pStyle w:val="Compact"/>
            </w:pPr>
            <w:r>
              <w:t xml:space="preserve">Validation rejection tests; adversarial injection-into-memory scenarios; extraction precision measured against hand-labelled corrections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 to FR-7.7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Deletion completeness test; tombstone audit; lifecycle transition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 to FR-8.4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Trace completeness test on a deliberately failed task; log content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 to FR-10.2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Harness self-test; regression gate demonstration on a deliberately degraded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 to FR-11.4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Provider contract suite; explicit switch test; readiness endpoint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 to NFR-5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Instrumented measurement on the stated reference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 to NFR-9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Demonstration and exploratory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NFR-10 to NFR-14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Interface description drift test; idempotency test; pagination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NFR-15 to NFR-25</w:t>
            </w:r>
          </w:p>
        </w:tc>
        <w:tc>
          <w:tcPr/>
          <w:p>
            <w:pPr>
              <w:pStyle w:val="Compact"/>
            </w:pPr>
            <w:r>
              <w:t xml:space="preserve">T, A</w:t>
            </w:r>
          </w:p>
        </w:tc>
        <w:tc>
          <w:tcPr/>
          <w:p>
            <w:pPr>
              <w:pStyle w:val="Compact"/>
            </w:pPr>
            <w:r>
              <w:t xml:space="preserve">Cross-tenant isolation suite as an unconditional gate; adversarial suite; log content assertion; architecture 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NFR-26 to NFR-31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Score recomputation test; restore drill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NFR-32 to NFR-35</w:t>
            </w:r>
          </w:p>
        </w:tc>
        <w:tc>
          <w:tcPr/>
          <w:p>
            <w:pPr>
              <w:pStyle w:val="Compact"/>
            </w:pPr>
            <w:r>
              <w:t xml:space="preserve">D, T</w:t>
            </w:r>
          </w:p>
        </w:tc>
        <w:tc>
          <w:tcPr/>
          <w:p>
            <w:pPr>
              <w:pStyle w:val="Compact"/>
            </w:pPr>
            <w:r>
              <w:t xml:space="preserve">Clean-checkout deployment on a separate host; reproducibility check; coverage gate</w:t>
            </w:r>
          </w:p>
        </w:tc>
      </w:tr>
    </w:tbl>
    <w:p>
      <w:pPr>
        <w:pStyle w:val="BodyText"/>
      </w:pPr>
      <w:r>
        <w:t xml:space="preserve">Acceptance is complete when every requirement of priority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has passed its stated verification</w:t>
      </w:r>
      <w:r>
        <w:t xml:space="preserve"> </w:t>
      </w:r>
      <w:r>
        <w:t xml:space="preserve">method and the results are recorded.</w:t>
      </w:r>
    </w:p>
    <w:bookmarkEnd w:id="52"/>
    <w:bookmarkStart w:id="53" w:name="appendix-a-assumptions-and-dependencies"/>
    <w:p>
      <w:pPr>
        <w:pStyle w:val="Heading2"/>
      </w:pPr>
      <w:r>
        <w:t xml:space="preserve">Appendix A. Assumptions and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ASM-1</w:t>
            </w:r>
          </w:p>
        </w:tc>
        <w:tc>
          <w:tcPr/>
          <w:p>
            <w:pPr>
              <w:pStyle w:val="Compact"/>
            </w:pPr>
            <w:r>
              <w:t xml:space="preserve">Local inference sustains schema fidelity at acceptable latency</w:t>
            </w:r>
          </w:p>
        </w:tc>
        <w:tc>
          <w:tcPr/>
          <w:p>
            <w:pPr>
              <w:pStyle w:val="Compact"/>
            </w:pPr>
            <w:r>
              <w:t xml:space="preserve">Confirmed. 12 of 12 valid, 9 to 26 s warm, fully GPU-resident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ASM-2</w:t>
            </w:r>
          </w:p>
        </w:tc>
        <w:tc>
          <w:tcPr/>
          <w:p>
            <w:pPr>
              <w:pStyle w:val="Compact"/>
            </w:pPr>
            <w:r>
              <w:t xml:space="preserve">A local model extracts reusable rules from freeform corrections at acceptable precision</w:t>
            </w:r>
          </w:p>
        </w:tc>
        <w:tc>
          <w:tcPr/>
          <w:p>
            <w:pPr>
              <w:pStyle w:val="Compact"/>
            </w:pPr>
            <w:r>
              <w:t xml:space="preserve">Unverified. Highest project uncertainty. Fallback is user-authored rules with model assistance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ASM-3</w:t>
            </w:r>
          </w:p>
        </w:tc>
        <w:tc>
          <w:tcPr/>
          <w:p>
            <w:pPr>
              <w:pStyle w:val="Compact"/>
            </w:pPr>
            <w:r>
              <w:t xml:space="preserve">Structural similarity between requirements is definable with sufficient stability to support FR-9.2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ASM-4</w:t>
            </w:r>
          </w:p>
        </w:tc>
        <w:tc>
          <w:tcPr/>
          <w:p>
            <w:pPr>
              <w:pStyle w:val="Compact"/>
            </w:pPr>
            <w:r>
              <w:t xml:space="preserve">Deterministic checks capture sufficient quality signal to serve as a gate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ASM-5</w:t>
            </w:r>
          </w:p>
        </w:tc>
        <w:tc>
          <w:tcPr/>
          <w:p>
            <w:pPr>
              <w:pStyle w:val="Compact"/>
            </w:pPr>
            <w:r>
              <w:t xml:space="preserve">Inference nondeterminism remains within evaluation gate margins under a fixed seed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DEP-1</w:t>
            </w:r>
          </w:p>
        </w:tc>
        <w:tc>
          <w:tcPr/>
          <w:p>
            <w:pPr>
              <w:pStyle w:val="Compact"/>
            </w:pPr>
            <w:r>
              <w:t xml:space="preserve">Inference runtime, host-resident</w:t>
            </w:r>
          </w:p>
        </w:tc>
        <w:tc>
          <w:tcPr/>
          <w:p>
            <w:pPr>
              <w:pStyle w:val="Compact"/>
            </w:pPr>
            <w:r>
              <w:t xml:space="preserve">Installed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DEP-2</w:t>
            </w:r>
          </w:p>
        </w:tc>
        <w:tc>
          <w:tcPr/>
          <w:p>
            <w:pPr>
              <w:pStyle w:val="Compact"/>
            </w:pPr>
            <w:r>
              <w:t xml:space="preserve">Model weights</w:t>
            </w:r>
          </w:p>
        </w:tc>
        <w:tc>
          <w:tcPr/>
          <w:p>
            <w:pPr>
              <w:pStyle w:val="Compact"/>
            </w:pPr>
            <w:r>
              <w:t xml:space="preserve">Five candidates retrieved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DEP-3</w:t>
            </w:r>
          </w:p>
        </w:tc>
        <w:tc>
          <w:tcPr/>
          <w:p>
            <w:pPr>
              <w:pStyle w:val="Compact"/>
            </w:pPr>
            <w:r>
              <w:t xml:space="preserve">Relational datastore with vector indexing</w:t>
            </w:r>
          </w:p>
        </w:tc>
        <w:tc>
          <w:tcPr/>
          <w:p>
            <w:pPr>
              <w:pStyle w:val="Compact"/>
            </w:pPr>
            <w:r>
              <w:t xml:space="preserve">Not provisioned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DEP-4</w:t>
            </w:r>
          </w:p>
        </w:tc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Installed, not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DEP-5</w:t>
            </w:r>
          </w:p>
        </w:tc>
        <w:tc>
          <w:tcPr/>
          <w:p>
            <w:pPr>
              <w:pStyle w:val="Compact"/>
            </w:pPr>
            <w:r>
              <w:t xml:space="preserve">Embedding model, and consequently the vector dimension</w:t>
            </w:r>
          </w:p>
        </w:tc>
        <w:tc>
          <w:tcPr/>
          <w:p>
            <w:pPr>
              <w:pStyle w:val="Compact"/>
            </w:pPr>
            <w:r>
              <w:t xml:space="preserve">Not selected. Blocks schema definition</w:t>
            </w:r>
          </w:p>
        </w:tc>
      </w:tr>
    </w:tbl>
    <w:bookmarkEnd w:id="53"/>
    <w:bookmarkStart w:id="54" w:name="appendix-b-acronyms-and-abbreviations"/>
    <w:p>
      <w:pPr>
        <w:pStyle w:val="Heading2"/>
      </w:pPr>
      <w:r>
        <w:t xml:space="preserve">Appendix B. Acronyms and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</w:pPr>
            <w:r>
              <w:t xml:space="preserve">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Architecture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CRR</w:t>
            </w:r>
          </w:p>
        </w:tc>
        <w:tc>
          <w:tcPr/>
          <w:p>
            <w:pPr>
              <w:pStyle w:val="Compact"/>
            </w:pPr>
            <w:r>
              <w:t xml:space="preserve">Correction Recurrence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</w:t>
            </w:r>
          </w:p>
        </w:tc>
        <w:tc>
          <w:tcPr/>
          <w:p>
            <w:pPr>
              <w:pStyle w:val="Compact"/>
            </w:pPr>
            <w:r>
              <w:t xml:space="preserve">Comma-Separated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</w:t>
            </w:r>
          </w:p>
        </w:tc>
        <w:tc>
          <w:tcPr/>
          <w:p>
            <w:pPr>
              <w:pStyle w:val="Compact"/>
            </w:pPr>
            <w:r>
              <w:t xml:space="preserve">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Non-Functional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MoSCoW</w:t>
            </w:r>
          </w:p>
        </w:tc>
        <w:tc>
          <w:tcPr/>
          <w:p>
            <w:pPr>
              <w:pStyle w:val="Compact"/>
            </w:pPr>
            <w:r>
              <w:t xml:space="preserve">Must, Should, Could, Will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SAD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SRS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Video Random Access Memory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55"/>
    <w:bookmarkEnd w:id="56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spikes/2026-09-07-model-selection.md" TargetMode="External" /><Relationship Type="http://schemas.openxmlformats.org/officeDocument/2006/relationships/hyperlink" Id="rId45" Target="threat-model.md" TargetMode="External" /><Relationship Type="http://schemas.openxmlformats.org/officeDocument/2006/relationships/hyperlink" Id="rId10" Target="vision-and-scop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spikes/2026-09-07-model-selection.md" TargetMode="External" /><Relationship Type="http://schemas.openxmlformats.org/officeDocument/2006/relationships/hyperlink" Id="rId45" Target="threat-model.md" TargetMode="External" /><Relationship Type="http://schemas.openxmlformats.org/officeDocument/2006/relationships/hyperlink" Id="rId10" Target="vision-and-scop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2026-09-08T05:06:43Z</dcterms:created>
  <dcterms:modified xsi:type="dcterms:W3CDTF">2026-09-08T05:06:43Z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