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software-architecture-document"/>
    <w:p>
      <w:pPr>
        <w:pStyle w:val="Heading1"/>
      </w:pPr>
      <w:r>
        <w:t xml:space="preserve">Software Architecture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NOVA-SAD-001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Conforms to</w:t>
            </w:r>
          </w:p>
        </w:tc>
        <w:tc>
          <w:tcPr/>
          <w:p>
            <w:pPr>
              <w:pStyle w:val="Compact"/>
            </w:pPr>
            <w:r>
              <w:t xml:space="preserve">arc42 v9, C4 model, ISO/IEC/IEEE 42010:2022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Xa20379e9019ceb98783f31ab06966f2b6a19af7"/>
    <w:p>
      <w:pPr>
        <w:pStyle w:val="Heading2"/>
      </w:pPr>
      <w:r>
        <w:t xml:space="preserve">1. Introduction and goals</w:t>
      </w:r>
    </w:p>
    <w:p>
      <w:pPr>
        <w:pStyle w:val="FirstParagraph"/>
      </w:pPr>
      <w:r>
        <w:t xml:space="preserve">NOVA converts a natural-language software requirement into a structured test plan, and retains the</w:t>
      </w:r>
      <w:r>
        <w:t xml:space="preserve"> </w:t>
      </w:r>
      <w:r>
        <w:t xml:space="preserve">user's corrections as durable memory so that later work does not repeat the same errors.</w:t>
      </w:r>
    </w:p>
    <w:p>
      <w:pPr>
        <w:pStyle w:val="BodyText"/>
      </w:pPr>
      <w:r>
        <w:t xml:space="preserve">Generation is not the architecturally interesting part. The design problem is the loop around it:</w:t>
      </w:r>
    </w:p>
    <w:p>
      <w:pPr>
        <w:pStyle w:val="Compact"/>
        <w:numPr>
          <w:ilvl w:val="0"/>
          <w:numId w:val="1001"/>
        </w:numPr>
      </w:pPr>
      <w:r>
        <w:t xml:space="preserve">Converting a freeform correction into a durable, retrievable rule without creating a persistent</w:t>
      </w:r>
      <w:r>
        <w:t xml:space="preserve"> </w:t>
      </w:r>
      <w:r>
        <w:t xml:space="preserve">prompt-injection vector.</w:t>
      </w:r>
    </w:p>
    <w:p>
      <w:pPr>
        <w:pStyle w:val="Compact"/>
        <w:numPr>
          <w:ilvl w:val="0"/>
          <w:numId w:val="1001"/>
        </w:numPr>
      </w:pPr>
      <w:r>
        <w:t xml:space="preserve">Retrieving the right rules without an ever-growing prompt that degrades silently.</w:t>
      </w:r>
    </w:p>
    <w:p>
      <w:pPr>
        <w:pStyle w:val="Compact"/>
        <w:numPr>
          <w:ilvl w:val="0"/>
          <w:numId w:val="1001"/>
        </w:numPr>
      </w:pPr>
      <w:r>
        <w:t xml:space="preserve">Establishing whether any of it works.</w:t>
      </w:r>
    </w:p>
    <w:bookmarkStart w:id="10" w:name="X8edcbb295ce4650fedef8833277817cff9a3417"/>
    <w:p>
      <w:pPr>
        <w:pStyle w:val="Heading3"/>
      </w:pPr>
      <w:r>
        <w:t xml:space="preserve">1.1 Requirements overview</w:t>
      </w:r>
    </w:p>
    <w:p>
      <w:pPr>
        <w:pStyle w:val="FirstParagraph"/>
      </w:pPr>
      <w:r>
        <w:t xml:space="preserve">The authoritative requirement set is</w:t>
      </w:r>
      <w:r>
        <w:t xml:space="preserve"> </w:t>
      </w:r>
      <w:hyperlink r:id="rId9">
        <w:r>
          <w:rPr>
            <w:rStyle w:val="Hyperlink"/>
          </w:rPr>
          <w:t xml:space="preserve">NOVA-SRS-001</w:t>
        </w:r>
      </w:hyperlink>
      <w:r>
        <w:t xml:space="preserve">. The architecturally significant subset: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Architectural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Schema-conformant generation via constrained decoding</w:t>
            </w:r>
          </w:p>
        </w:tc>
        <w:tc>
          <w:tcPr/>
          <w:p>
            <w:pPr>
              <w:pStyle w:val="Compact"/>
            </w:pPr>
            <w:r>
              <w:t xml:space="preserve">Schema is a first-class shared artifact, not a post-hoc 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Scored retrieval with scores exposed</w:t>
            </w:r>
          </w:p>
        </w:tc>
        <w:tc>
          <w:tcPr/>
          <w:p>
            <w:pPr>
              <w:pStyle w:val="Compact"/>
            </w:pPr>
            <w:r>
              <w:t xml:space="preserve">Retrieval must be explainable, not merely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FR-6.3</w:t>
            </w:r>
          </w:p>
        </w:tc>
        <w:tc>
          <w:tcPr/>
          <w:p>
            <w:pPr>
              <w:pStyle w:val="Compact"/>
            </w:pPr>
            <w:r>
              <w:t xml:space="preserve">No memory stored without explicit confirmation</w:t>
            </w:r>
          </w:p>
        </w:tc>
        <w:tc>
          <w:tcPr/>
          <w:p>
            <w:pPr>
              <w:pStyle w:val="Compact"/>
            </w:pPr>
            <w:r>
              <w:t xml:space="preserve">A human gate sits on the highest-risk write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Complete execution trace, including on failure</w:t>
            </w:r>
          </w:p>
        </w:tc>
        <w:tc>
          <w:tcPr/>
          <w:p>
            <w:pPr>
              <w:pStyle w:val="Compact"/>
            </w:pPr>
            <w:r>
              <w:t xml:space="preserve">Tracing is a structural concern, written incrementally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FR-10.1</w:t>
            </w:r>
          </w:p>
        </w:tc>
        <w:tc>
          <w:tcPr/>
          <w:p>
            <w:pPr>
              <w:pStyle w:val="Compact"/>
            </w:pPr>
            <w:r>
              <w:t xml:space="preserve">Configuration activation requires a passing evaluation</w:t>
            </w:r>
          </w:p>
        </w:tc>
        <w:tc>
          <w:tcPr/>
          <w:p>
            <w:pPr>
              <w:pStyle w:val="Compact"/>
            </w:pPr>
            <w:r>
              <w:t xml:space="preserve">Enforced as a data-layer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NFR-16</w:t>
            </w:r>
          </w:p>
        </w:tc>
        <w:tc>
          <w:tcPr/>
          <w:p>
            <w:pPr>
              <w:pStyle w:val="Compact"/>
            </w:pPr>
            <w:r>
              <w:t xml:space="preserve">Tenant scoping applied at the data access layer</w:t>
            </w:r>
          </w:p>
        </w:tc>
        <w:tc>
          <w:tcPr/>
          <w:p>
            <w:pPr>
              <w:pStyle w:val="Compact"/>
            </w:pPr>
            <w:r>
              <w:t xml:space="preserve">Isolation is structural, not a per-caller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NFR-20</w:t>
            </w:r>
          </w:p>
        </w:tc>
        <w:tc>
          <w:tcPr/>
          <w:p>
            <w:pPr>
              <w:pStyle w:val="Compact"/>
            </w:pPr>
            <w:r>
              <w:t xml:space="preserve">The model has no file, command, or network capability</w:t>
            </w:r>
          </w:p>
        </w:tc>
        <w:tc>
          <w:tcPr/>
          <w:p>
            <w:pPr>
              <w:pStyle w:val="Compact"/>
            </w:pPr>
            <w:r>
              <w:t xml:space="preserve">The absence of a tool surface is a designed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Task duration measured in tens of seconds</w:t>
            </w:r>
          </w:p>
        </w:tc>
        <w:tc>
          <w:tcPr/>
          <w:p>
            <w:pPr>
              <w:pStyle w:val="Compact"/>
            </w:pPr>
            <w:r>
              <w:t xml:space="preserve">Execution is asynchronous and durable</w:t>
            </w:r>
          </w:p>
        </w:tc>
      </w:tr>
    </w:tbl>
    <w:bookmarkEnd w:id="10"/>
    <w:bookmarkStart w:id="11" w:name="X0b5d37a5464d925129d3b75f0c233a338af128e"/>
    <w:p>
      <w:pPr>
        <w:pStyle w:val="Heading3"/>
      </w:pPr>
      <w:r>
        <w:t xml:space="preserve">1.2 Quality goals</w:t>
      </w:r>
    </w:p>
    <w:p>
      <w:pPr>
        <w:pStyle w:val="FirstParagraph"/>
      </w:pPr>
      <w:r>
        <w:t xml:space="preserve">Ordered. Where two conflict, the higher-ranked prevails.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Quality goal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Scenario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of the memory path</w:t>
            </w:r>
          </w:p>
        </w:tc>
        <w:tc>
          <w:tcPr/>
          <w:p>
            <w:pPr>
              <w:pStyle w:val="Compact"/>
            </w:pPr>
            <w:r>
              <w:t xml:space="preserve">A confirmed memory is replayed into every future prompt that retrieves it. Compromise is persistent, not transient</w:t>
            </w:r>
          </w:p>
        </w:tc>
        <w:tc>
          <w:tcPr/>
          <w:p>
            <w:pPr>
              <w:pStyle w:val="Compact"/>
            </w:pPr>
            <w:r>
              <w:t xml:space="preserve">QS-1, QS-2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Analysability</w:t>
            </w:r>
          </w:p>
        </w:tc>
        <w:tc>
          <w:tcPr/>
          <w:p>
            <w:pPr>
              <w:pStyle w:val="Compact"/>
            </w:pPr>
            <w:r>
              <w:t xml:space="preserve">The value of the system depends on being able to show why an output was produced, and on separating retrieval failure from generation failure</w:t>
            </w:r>
          </w:p>
        </w:tc>
        <w:tc>
          <w:tcPr/>
          <w:p>
            <w:pPr>
              <w:pStyle w:val="Compact"/>
            </w:pPr>
            <w:r>
              <w:t xml:space="preserve">QS-3, QS-4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Improvement claims are only meaningful if they are measurable and gated</w:t>
            </w:r>
          </w:p>
        </w:tc>
        <w:tc>
          <w:tcPr/>
          <w:p>
            <w:pPr>
              <w:pStyle w:val="Compact"/>
            </w:pPr>
            <w:r>
              <w:t xml:space="preserve">QS-5, QS-6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Requirements and test data must not leave the host in the default configuration</w:t>
            </w:r>
          </w:p>
        </w:tc>
        <w:tc>
          <w:tcPr/>
          <w:p>
            <w:pPr>
              <w:pStyle w:val="Compact"/>
            </w:pPr>
            <w:r>
              <w:t xml:space="preserve">QS-7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A task must not vanish, hang, or lose its trace on failure</w:t>
            </w:r>
          </w:p>
        </w:tc>
        <w:tc>
          <w:tcPr/>
          <w:p>
            <w:pPr>
              <w:pStyle w:val="Compact"/>
            </w:pPr>
            <w:r>
              <w:t xml:space="preserve">QS-8, QS-9</w:t>
            </w:r>
          </w:p>
        </w:tc>
      </w:tr>
    </w:tbl>
    <w:p>
      <w:pPr>
        <w:pStyle w:val="BodyText"/>
      </w:pPr>
      <w:r>
        <w:t xml:space="preserve">Performance is deliberately absent from this list. Measurement established substantial headroom</w:t>
      </w:r>
      <w:r>
        <w:t xml:space="preserve"> </w:t>
      </w:r>
      <w:r>
        <w:t xml:space="preserve">against the stated target, so it does not currently constrain design.</w:t>
      </w:r>
    </w:p>
    <w:bookmarkEnd w:id="11"/>
    <w:bookmarkStart w:id="12" w:name="X6f11df0a6b819befb79a0525ddd83bcc6c97bf2"/>
    <w:p>
      <w:pPr>
        <w:pStyle w:val="Heading3"/>
      </w:pPr>
      <w:r>
        <w:t xml:space="preserve">1.3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Consumed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Implementing engineer</w:t>
            </w:r>
          </w:p>
        </w:tc>
        <w:tc>
          <w:tcPr/>
          <w:p>
            <w:pPr>
              <w:pStyle w:val="Compact"/>
            </w:pPr>
            <w:r>
              <w:t xml:space="preserve">Buildability, decision rationale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  <w:r>
              <w:t xml:space="preserve">Engineering judgment, measurement rigour</w:t>
            </w:r>
          </w:p>
        </w:tc>
        <w:tc>
          <w:tcPr/>
          <w:p>
            <w:pPr>
              <w:pStyle w:val="Compact"/>
            </w:pPr>
            <w:r>
              <w:t xml:space="preserve">4, 8, 9, 10, 11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Deployment, failure diagnosis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Explainability of output</w:t>
            </w:r>
          </w:p>
        </w:tc>
        <w:tc>
          <w:tcPr/>
          <w:p>
            <w:pPr>
              <w:pStyle w:val="Compact"/>
            </w:pPr>
            <w:r>
              <w:t xml:space="preserve">6, 8</w:t>
            </w:r>
          </w:p>
        </w:tc>
      </w:tr>
    </w:tbl>
    <w:bookmarkEnd w:id="12"/>
    <w:bookmarkEnd w:id="13"/>
    <w:bookmarkStart w:id="14" w:name="Xb18abfed9c8c65dfa435cdcf19ba4257a643b49"/>
    <w:p>
      <w:pPr>
        <w:pStyle w:val="Heading2"/>
      </w:pPr>
      <w:r>
        <w:t xml:space="preserve">2. Architecture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t xml:space="preserve">Approximately 130 to 180 engineering hours</w:t>
            </w:r>
          </w:p>
        </w:tc>
        <w:tc>
          <w:tcPr/>
          <w:p>
            <w:pPr>
              <w:pStyle w:val="Compact"/>
            </w:pPr>
            <w:r>
              <w:t xml:space="preserve">One datastore, no framework, no infrastructure that is not load-bearing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Single engineer, no external review</w:t>
            </w:r>
          </w:p>
        </w:tc>
        <w:tc>
          <w:tcPr/>
          <w:p>
            <w:pPr>
              <w:pStyle w:val="Compact"/>
            </w:pPr>
            <w:r>
              <w:t xml:space="preserve">Automated gates substitute for peer review where they 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Local inference within a 6 GB VRAM budget</w:t>
            </w:r>
          </w:p>
        </w:tc>
        <w:tc>
          <w:tcPr/>
          <w:p>
            <w:pPr>
              <w:pStyle w:val="Compact"/>
            </w:pPr>
            <w:r>
              <w:t xml:space="preserve">Structured-output reliability becomes a primary engineering problem. Model class is 4B parameters, not 8 to 9B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Local deployment only</w:t>
            </w:r>
          </w:p>
        </w:tc>
        <w:tc>
          <w:tcPr/>
          <w:p>
            <w:pPr>
              <w:pStyle w:val="Compact"/>
            </w:pPr>
            <w:r>
              <w:t xml:space="preserve">Container composition is the deployment artifact. Inference runs on the host, not in a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t xml:space="preserve">Synthetic and open-source data only</w:t>
            </w:r>
          </w:p>
        </w:tc>
        <w:tc>
          <w:tcPr/>
          <w:p>
            <w:pPr>
              <w:pStyle w:val="Compact"/>
            </w:pPr>
            <w:r>
              <w:t xml:space="preserve">Evaluation data is committable. Privacy controls are designed and tested rather than compliance-bound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No model training</w:t>
            </w:r>
          </w:p>
        </w:tc>
        <w:tc>
          <w:tcPr/>
          <w:p>
            <w:pPr>
              <w:pStyle w:val="Compact"/>
            </w:pPr>
            <w:r>
              <w:t xml:space="preserve">All adaptation occurs through retrieval and configuration, not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t xml:space="preserve">Single user, multi-tenant-capable schema</w:t>
            </w:r>
          </w:p>
        </w:tc>
        <w:tc>
          <w:tcPr/>
          <w:p>
            <w:pPr>
              <w:pStyle w:val="Compact"/>
            </w:pPr>
            <w:r>
              <w:t xml:space="preserve">Tenant identifier present from the first migration; authentication deferred</w:t>
            </w:r>
          </w:p>
        </w:tc>
      </w:tr>
    </w:tbl>
    <w:bookmarkEnd w:id="14"/>
    <w:bookmarkStart w:id="20" w:name="X7715a6c1b808e803917b29035a9e3feef9b15df"/>
    <w:p>
      <w:pPr>
        <w:pStyle w:val="Heading2"/>
      </w:pPr>
      <w:r>
        <w:t xml:space="preserve">3. Context and scope</w:t>
      </w:r>
    </w:p>
    <w:bookmarkStart w:id="18" w:name="X018f1860ab928ce284be5e1fc906a05a4b3688c"/>
    <w:p>
      <w:pPr>
        <w:pStyle w:val="Heading3"/>
      </w:pPr>
      <w:r>
        <w:t xml:space="preserve">3.1 Business context (C4 level 1)</w:t>
      </w:r>
    </w:p>
    <w:p>
      <w:pPr>
        <w:pStyle w:val="FirstParagraph"/>
      </w:pPr>
      <w:r>
        <w:drawing>
          <wp:inline>
            <wp:extent cx="5943600" cy="744471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External entity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engineer</w:t>
            </w:r>
          </w:p>
        </w:tc>
        <w:tc>
          <w:tcPr/>
          <w:p>
            <w:pPr>
              <w:pStyle w:val="Compact"/>
            </w:pPr>
            <w:r>
              <w:t xml:space="preserve">Browser, HTTP</w:t>
            </w:r>
          </w:p>
        </w:tc>
        <w:tc>
          <w:tcPr/>
          <w:p>
            <w:pPr>
              <w:pStyle w:val="Compact"/>
            </w:pPr>
            <w:r>
              <w:t xml:space="preserve">The only human actor. No administrative role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runtime</w:t>
            </w:r>
          </w:p>
        </w:tc>
        <w:tc>
          <w:tcPr/>
          <w:p>
            <w:pPr>
              <w:pStyle w:val="Compact"/>
            </w:pPr>
            <w:r>
              <w:t xml:space="preserve">HTTP on the host loopback interface</w:t>
            </w:r>
          </w:p>
        </w:tc>
        <w:tc>
          <w:tcPr/>
          <w:p>
            <w:pPr>
              <w:pStyle w:val="Compact"/>
            </w:pPr>
            <w:r>
              <w:t xml:space="preserve">Supplies a JSON Schema per request; returns a conformant completion plus token and timing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inference provider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Optional. Selecting it is the only path by which data leaves the host, and it requires an explicit user action</w:t>
            </w:r>
          </w:p>
        </w:tc>
      </w:tr>
    </w:tbl>
    <w:bookmarkEnd w:id="18"/>
    <w:bookmarkStart w:id="19" w:name="X709a6fb9880420086c3a222ab7f5052a04d0a67"/>
    <w:p>
      <w:pPr>
        <w:pStyle w:val="Heading3"/>
      </w:pPr>
      <w:r>
        <w:t xml:space="preserve">3.2 Technical 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to API</w:t>
            </w:r>
          </w:p>
        </w:tc>
        <w:tc>
          <w:tcPr/>
          <w:p>
            <w:pPr>
              <w:pStyle w:val="Compact"/>
            </w:pPr>
            <w:r>
              <w:t xml:space="preserve">HTTP/1.1, JSON</w:t>
            </w:r>
          </w:p>
        </w:tc>
        <w:tc>
          <w:tcPr/>
          <w:p>
            <w:pPr>
              <w:pStyle w:val="Compact"/>
            </w:pPr>
            <w:r>
              <w:t xml:space="preserve">Requirements, feedback, memory operations</w:t>
            </w:r>
          </w:p>
        </w:tc>
        <w:tc>
          <w:tcPr/>
          <w:p>
            <w:pPr>
              <w:pStyle w:val="Compact"/>
            </w:pPr>
            <w:r>
              <w:t xml:space="preserve">Untrusted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to datastore</w:t>
            </w:r>
          </w:p>
        </w:tc>
        <w:tc>
          <w:tcPr/>
          <w:p>
            <w:pPr>
              <w:pStyle w:val="Compact"/>
            </w:pPr>
            <w:r>
              <w:t xml:space="preserve">PostgreSQL wire protocol</w:t>
            </w:r>
          </w:p>
        </w:tc>
        <w:tc>
          <w:tcPr/>
          <w:p>
            <w:pPr>
              <w:pStyle w:val="Compact"/>
            </w:pPr>
            <w:r>
              <w:t xml:space="preserve">All persistent state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to inference runtime</w:t>
            </w:r>
          </w:p>
        </w:tc>
        <w:tc>
          <w:tcPr/>
          <w:p>
            <w:pPr>
              <w:pStyle w:val="Compact"/>
            </w:pPr>
            <w:r>
              <w:t xml:space="preserve">HTTP/1.1, JSON with JSON Schema</w:t>
            </w:r>
          </w:p>
        </w:tc>
        <w:tc>
          <w:tcPr/>
          <w:p>
            <w:pPr>
              <w:pStyle w:val="Compact"/>
            </w:pPr>
            <w:r>
              <w:t xml:space="preserve">Prompts and completions</w:t>
            </w:r>
          </w:p>
        </w:tc>
        <w:tc>
          <w:tcPr/>
          <w:p>
            <w:pPr>
              <w:pStyle w:val="Compact"/>
            </w:pPr>
            <w:r>
              <w:t xml:space="preserve">Output untrusted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to inference runtime</w:t>
            </w:r>
          </w:p>
        </w:tc>
        <w:tc>
          <w:tcPr/>
          <w:p>
            <w:pPr>
              <w:pStyle w:val="Compact"/>
            </w:pPr>
            <w:r>
              <w:t xml:space="preserve">HTTP/1.1, JSON</w:t>
            </w:r>
          </w:p>
        </w:tc>
        <w:tc>
          <w:tcPr/>
          <w:p>
            <w:pPr>
              <w:pStyle w:val="Compact"/>
            </w:pPr>
            <w:r>
              <w:t xml:space="preserve">Extraction and embedding requests</w:t>
            </w:r>
          </w:p>
        </w:tc>
        <w:tc>
          <w:tcPr/>
          <w:p>
            <w:pPr>
              <w:pStyle w:val="Compact"/>
            </w:pPr>
            <w:r>
              <w:t xml:space="preserve">Output untrusted</w:t>
            </w:r>
          </w:p>
        </w:tc>
      </w:tr>
    </w:tbl>
    <w:p>
      <w:pPr>
        <w:pStyle w:val="BodyText"/>
      </w:pPr>
      <w:r>
        <w:t xml:space="preserve">Services bind to the loopback interface. The system has no inbound network surface beyond the host.</w:t>
      </w:r>
    </w:p>
    <w:bookmarkEnd w:id="19"/>
    <w:bookmarkEnd w:id="20"/>
    <w:bookmarkStart w:id="25" w:name="Xf89e8e549a8f55d6c63cc4885fc1e8899ee72c4"/>
    <w:p>
      <w:pPr>
        <w:pStyle w:val="Heading2"/>
      </w:pPr>
      <w:r>
        <w:t xml:space="preserve">4. Solution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goal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 the memory path</w:t>
            </w:r>
          </w:p>
        </w:tc>
        <w:tc>
          <w:tcPr/>
          <w:p>
            <w:pPr>
              <w:pStyle w:val="Compact"/>
            </w:pPr>
            <w:r>
              <w:t xml:space="preserve">Two independent controls in series: a mechanical validation screen, then mandatory human confirmation. Combined with a total absence of tool capability for the model</w:t>
            </w:r>
          </w:p>
        </w:tc>
        <w:tc>
          <w:tcPr/>
          <w:p>
            <w:pPr>
              <w:pStyle w:val="Compact"/>
            </w:pPr>
            <w:r>
              <w:t xml:space="preserve">A screen against an open-ended attack surface will miss cases. A successful injection can produce a poor test case but cannot take an action, because no action exists. See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ADR-0004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Analysability</w:t>
            </w:r>
          </w:p>
        </w:tc>
        <w:tc>
          <w:tcPr/>
          <w:p>
            <w:pPr>
              <w:pStyle w:val="Compact"/>
            </w:pPr>
            <w:r>
              <w:t xml:space="preserve">Trace steps written incrementally, including retrieval scores for candidates that were evaluated and rejected</w:t>
            </w:r>
          </w:p>
        </w:tc>
        <w:tc>
          <w:tcPr/>
          <w:p>
            <w:pPr>
              <w:pStyle w:val="Compact"/>
            </w:pPr>
            <w:r>
              <w:t xml:space="preserve">A trace persisted only on success is useless, because failure is when it is needed. Scores for non-selected candidates are what separate retrieval failure from generation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Deterministic checks first, model-based review confined to the residual. Evaluation dataset versioned by content hash. Configuration activation blocked at the data layer without a passing run</w:t>
            </w:r>
          </w:p>
        </w:tc>
        <w:tc>
          <w:tcPr/>
          <w:p>
            <w:pPr>
              <w:pStyle w:val="Compact"/>
            </w:pPr>
            <w:r>
              <w:t xml:space="preserve">Model-based evaluation makes every metric dependent on a component whose reliability must itself be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Local inference by default. Provider changes require explicit user action. Logs carry identifiers and digests, never content</w:t>
            </w:r>
          </w:p>
        </w:tc>
        <w:tc>
          <w:tcPr/>
          <w:p>
            <w:pPr>
              <w:pStyle w:val="Compact"/>
            </w:pPr>
            <w:r>
              <w:t xml:space="preserve">Automatic provider substitution would silently change where data goes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Durable job records claimed under row-level locks with lease expiry. Every retry bounded with a defined terminal state</w:t>
            </w:r>
          </w:p>
        </w:tc>
        <w:tc>
          <w:tcPr/>
          <w:p>
            <w:pPr>
              <w:pStyle w:val="Compact"/>
            </w:pPr>
            <w:r>
              <w:t xml:space="preserve">An agent that retries without bound consumes a GPU and presents as a hang</w:t>
            </w:r>
          </w:p>
        </w:tc>
      </w:tr>
    </w:tbl>
    <w:p>
      <w:pPr>
        <w:pStyle w:val="BodyText"/>
      </w:pPr>
      <w:r>
        <w:t xml:space="preserve">Technology selection follows from the constraints rather than preference: a single datastore holding</w:t>
      </w:r>
      <w:r>
        <w:t xml:space="preserve"> </w:t>
      </w:r>
      <w:r>
        <w:t xml:space="preserve">both relational and vector data (</w:t>
      </w:r>
      <w:hyperlink r:id="rId22">
        <w:r>
          <w:rPr>
            <w:rStyle w:val="Hyperlink"/>
          </w:rPr>
          <w:t xml:space="preserve">ADR-0001</w:t>
        </w:r>
      </w:hyperlink>
      <w:r>
        <w:t xml:space="preserve">), a job</w:t>
      </w:r>
      <w:r>
        <w:t xml:space="preserve"> </w:t>
      </w:r>
      <w:r>
        <w:t xml:space="preserve">table rather than a broker (</w:t>
      </w:r>
      <w:hyperlink r:id="rId23">
        <w:r>
          <w:rPr>
            <w:rStyle w:val="Hyperlink"/>
          </w:rPr>
          <w:t xml:space="preserve">ADR-0002</w:t>
        </w:r>
      </w:hyperlink>
      <w:r>
        <w:t xml:space="preserve">), and no</w:t>
      </w:r>
      <w:r>
        <w:t xml:space="preserve"> </w:t>
      </w:r>
      <w:r>
        <w:t xml:space="preserve">agent framework (</w:t>
      </w:r>
      <w:hyperlink r:id="rId24">
        <w:r>
          <w:rPr>
            <w:rStyle w:val="Hyperlink"/>
          </w:rPr>
          <w:t xml:space="preserve">ADR-0003</w:t>
        </w:r>
      </w:hyperlink>
      <w:r>
        <w:t xml:space="preserve">).</w:t>
      </w:r>
    </w:p>
    <w:bookmarkEnd w:id="25"/>
    <w:bookmarkStart w:id="35" w:name="X3a7b93a7719adb2ae87ca9b438890c928e9d9a5"/>
    <w:p>
      <w:pPr>
        <w:pStyle w:val="Heading2"/>
      </w:pPr>
      <w:r>
        <w:t xml:space="preserve">5. Building block view</w:t>
      </w:r>
    </w:p>
    <w:bookmarkStart w:id="29" w:name="Xa7a36caa58ff501cfc8817305ad7dcbaa75072c"/>
    <w:p>
      <w:pPr>
        <w:pStyle w:val="Heading3"/>
      </w:pPr>
      <w:r>
        <w:t xml:space="preserve">5.1 Level 1: containers (C4 level 2)</w:t>
      </w:r>
    </w:p>
    <w:p>
      <w:pPr>
        <w:pStyle w:val="FirstParagraph"/>
      </w:pPr>
      <w:r>
        <w:drawing>
          <wp:inline>
            <wp:extent cx="5943600" cy="485719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49f24549ee2b49044a89df6eef83428b57c138b"/>
    <w:p>
      <w:pPr>
        <w:pStyle w:val="Heading3"/>
      </w:pPr>
      <w:r>
        <w:t xml:space="preserve">5.2 Level 2: API service and worker components</w:t>
      </w:r>
    </w:p>
    <w:p>
      <w:pPr>
        <w:pStyle w:val="FirstParagraph"/>
      </w:pPr>
      <w:r>
        <w:drawing>
          <wp:inline>
            <wp:extent cx="5943600" cy="258958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d9316b40035354649de94301aae0094ce260b57"/>
    <w:p>
      <w:pPr>
        <w:pStyle w:val="Heading3"/>
      </w:pPr>
      <w:r>
        <w:t xml:space="preserve">5.3 Component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Principal failure mode and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Submission, results with per-case actions, trace viewer, memory manager, evaluation results</w:t>
            </w:r>
          </w:p>
        </w:tc>
        <w:tc>
          <w:tcPr/>
          <w:p>
            <w:pPr>
              <w:pStyle w:val="Compact"/>
            </w:pPr>
            <w:r>
              <w:t xml:space="preserve">API unreachable, long task appearing stalled, large trace rendering slowly. Explicit error states, polling backoff, trace pagination. Renders untrusted content, so no unsanitized 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handlers</w:t>
            </w:r>
          </w:p>
        </w:tc>
        <w:tc>
          <w:tcPr/>
          <w:p>
            <w:pPr>
              <w:pStyle w:val="Compact"/>
            </w:pPr>
            <w:r>
              <w:t xml:space="preserve">Validation, server-side tenant resolution, job enqueue</w:t>
            </w:r>
          </w:p>
        </w:tc>
        <w:tc>
          <w:tcPr/>
          <w:p>
            <w:pPr>
              <w:pStyle w:val="Compact"/>
            </w:pPr>
            <w:r>
              <w:t xml:space="preserve">Validation failure returns a structured error. Datastore failure returns 503 with no partial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All data access, tenant-scoped by construction</w:t>
            </w:r>
          </w:p>
        </w:tc>
        <w:tc>
          <w:tcPr/>
          <w:p>
            <w:pPr>
              <w:pStyle w:val="Compact"/>
            </w:pPr>
            <w:r>
              <w:t xml:space="preserve">A query path that omits tenant scoping is prevented structurally rather than by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processor</w:t>
            </w:r>
          </w:p>
        </w:tc>
        <w:tc>
          <w:tcPr/>
          <w:p>
            <w:pPr>
              <w:pStyle w:val="Compact"/>
            </w:pPr>
            <w:r>
              <w:t xml:space="preserve">Normalization, candidate extraction, score update</w:t>
            </w:r>
          </w:p>
        </w:tc>
        <w:tc>
          <w:tcPr/>
          <w:p>
            <w:pPr>
              <w:pStyle w:val="Compact"/>
            </w:pPr>
            <w:r>
              <w:t xml:space="preserve">Extraction failure retains the raw correction rather than discarding it. Highest-risk path in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Task lifecycle: select, retrieve, generate, check, review, persist</w:t>
            </w:r>
          </w:p>
        </w:tc>
        <w:tc>
          <w:tcPr/>
          <w:p>
            <w:pPr>
              <w:pStyle w:val="Compact"/>
            </w:pPr>
            <w:r>
              <w:t xml:space="preserve">Any step failure records the failing step by name and persists the trace to that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 selector</w:t>
            </w:r>
          </w:p>
        </w:tc>
        <w:tc>
          <w:tcPr/>
          <w:p>
            <w:pPr>
              <w:pStyle w:val="Compact"/>
            </w:pPr>
            <w:r>
              <w:t xml:space="preserve">Outcome-scored choice with bounded exploration</w:t>
            </w:r>
          </w:p>
        </w:tc>
        <w:tc>
          <w:tcPr/>
          <w:p>
            <w:pPr>
              <w:pStyle w:val="Compact"/>
            </w:pPr>
            <w:r>
              <w:t xml:space="preserve">Cold start falls back to a static mapping. Bounded step size and clamping prevent a single event from changing the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retriever</w:t>
            </w:r>
          </w:p>
        </w:tc>
        <w:tc>
          <w:tcPr/>
          <w:p>
            <w:pPr>
              <w:pStyle w:val="Compact"/>
            </w:pPr>
            <w:r>
              <w:t xml:space="preserve">Ranked retrieval with explainable component scores</w:t>
            </w:r>
          </w:p>
        </w:tc>
        <w:tc>
          <w:tcPr/>
          <w:p>
            <w:pPr>
              <w:pStyle w:val="Compact"/>
            </w:pPr>
            <w:r>
              <w:t xml:space="preserve">Embedding failure fails the task explicitly. A silent empty retrieval is the worst available outcome, because the system continues to appear healthy while no longer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Schema-conformant plan production</w:t>
            </w:r>
          </w:p>
        </w:tc>
        <w:tc>
          <w:tcPr/>
          <w:p>
            <w:pPr>
              <w:pStyle w:val="Compact"/>
            </w:pPr>
            <w:r>
              <w:t xml:space="preserve">Bounded repair retry with every attempt counted. Context pressure reduces retrieved memory before requirement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Deterministic checks, then bounded model review</w:t>
            </w:r>
          </w:p>
        </w:tc>
        <w:tc>
          <w:tcPr/>
          <w:p>
            <w:pPr>
              <w:pStyle w:val="Compact"/>
            </w:pPr>
            <w:r>
              <w:t xml:space="preserve">The model review stage is optional by design. Deterministic verdicts return regardless, flagged partial. The pre-review plan is retained so any regression is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gateway</w:t>
            </w:r>
          </w:p>
        </w:tc>
        <w:tc>
          <w:tcPr/>
          <w:p>
            <w:pPr>
              <w:pStyle w:val="Compact"/>
            </w:pPr>
            <w:r>
              <w:t xml:space="preserve">Three operations over two provider implementations</w:t>
            </w:r>
          </w:p>
        </w:tc>
        <w:tc>
          <w:tcPr/>
          <w:p>
            <w:pPr>
              <w:pStyle w:val="Compact"/>
            </w:pPr>
            <w:r>
              <w:t xml:space="preserve">Startup health check returns an actionable message. No silent provider substitution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store and worker loop</w:t>
            </w:r>
          </w:p>
        </w:tc>
        <w:tc>
          <w:tcPr/>
          <w:p>
            <w:pPr>
              <w:pStyle w:val="Compact"/>
            </w:pPr>
            <w:r>
              <w:t xml:space="preserve">Durable asynchronous execution</w:t>
            </w:r>
          </w:p>
        </w:tc>
        <w:tc>
          <w:tcPr/>
          <w:p>
            <w:pPr>
              <w:pStyle w:val="Compact"/>
            </w:pPr>
            <w:r>
              <w:t xml:space="preserve">Lease expiry permits reclamation after worker termination. Bounded attempts, then terminal failure. Partial trace always retained</w:t>
            </w:r>
          </w:p>
        </w:tc>
      </w:tr>
    </w:tbl>
    <w:p>
      <w:pPr>
        <w:pStyle w:val="BodyText"/>
      </w:pPr>
      <w:r>
        <w:t xml:space="preserve">The gateway exposes three operations, not a general abstraction layer. Anything wider would be</w:t>
      </w:r>
      <w:r>
        <w:t xml:space="preserve"> </w:t>
      </w:r>
      <w:r>
        <w:t xml:space="preserve">speculative.</w:t>
      </w:r>
    </w:p>
    <w:bookmarkEnd w:id="34"/>
    <w:bookmarkEnd w:id="35"/>
    <w:bookmarkStart w:id="49" w:name="X4bd52352356fde8f90c69ae5b7572b083ee7e7c"/>
    <w:p>
      <w:pPr>
        <w:pStyle w:val="Heading2"/>
      </w:pPr>
      <w:r>
        <w:t xml:space="preserve">6. Runtime view</w:t>
      </w:r>
    </w:p>
    <w:bookmarkStart w:id="39" w:name="X63d67a9dc3761730f78f36f8d7c5067f81d53dc"/>
    <w:p>
      <w:pPr>
        <w:pStyle w:val="Heading3"/>
      </w:pPr>
      <w:r>
        <w:t xml:space="preserve">6.1 Nominal task execution</w:t>
      </w:r>
    </w:p>
    <w:p>
      <w:pPr>
        <w:pStyle w:val="FirstParagraph"/>
      </w:pPr>
      <w:r>
        <w:drawing>
          <wp:inline>
            <wp:extent cx="5943600" cy="393806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d2f17975806a21cb554e5d432fb527a8691dbb4"/>
    <w:p>
      <w:pPr>
        <w:pStyle w:val="Heading3"/>
      </w:pPr>
      <w:r>
        <w:t xml:space="preserve">6.2 Correction to durable memory</w:t>
      </w:r>
    </w:p>
    <w:p>
      <w:pPr>
        <w:pStyle w:val="FirstParagraph"/>
      </w:pPr>
      <w:r>
        <w:drawing>
          <wp:inline>
            <wp:extent cx="5943600" cy="349573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X57e362db30c3a632a5a51692c3fc41d2a27b535"/>
    <w:p>
      <w:pPr>
        <w:pStyle w:val="Heading3"/>
      </w:pPr>
      <w:r>
        <w:t xml:space="preserve">6.3 Worker termination and recovery</w:t>
      </w:r>
    </w:p>
    <w:p>
      <w:pPr>
        <w:pStyle w:val="FirstParagraph"/>
      </w:pPr>
      <w:r>
        <w:drawing>
          <wp:inline>
            <wp:extent cx="5943600" cy="441066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X5d7830c4ba87b8950b0e388b91908a3b12fcdc5"/>
    <w:p>
      <w:pPr>
        <w:pStyle w:val="Heading3"/>
      </w:pPr>
      <w:r>
        <w:t xml:space="preserve">6.4 Synchronous and asynchronous boundaries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submission</w:t>
            </w:r>
          </w:p>
        </w:tc>
        <w:tc>
          <w:tcPr/>
          <w:p>
            <w:pPr>
              <w:pStyle w:val="Compact"/>
            </w:pPr>
            <w:r>
              <w:t xml:space="preserve">Synchronous, returns identifier</w:t>
            </w:r>
          </w:p>
        </w:tc>
        <w:tc>
          <w:tcPr/>
          <w:p>
            <w:pPr>
              <w:pStyle w:val="Compact"/>
            </w:pPr>
            <w:r>
              <w:t xml:space="preserve">Execution takes tens of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execution</w:t>
            </w:r>
          </w:p>
        </w:tc>
        <w:tc>
          <w:tcPr/>
          <w:p>
            <w:pPr>
              <w:pStyle w:val="Compact"/>
            </w:pPr>
            <w:r>
              <w:t xml:space="preserve">Asynchronous worker</w:t>
            </w:r>
          </w:p>
        </w:tc>
        <w:tc>
          <w:tcPr/>
          <w:p>
            <w:pPr>
              <w:pStyle w:val="Compact"/>
            </w:pPr>
            <w:r>
              <w:t xml:space="preserve">Durability and observable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and result retrieval</w:t>
            </w:r>
          </w:p>
        </w:tc>
        <w:tc>
          <w:tcPr/>
          <w:p>
            <w:pPr>
              <w:pStyle w:val="Compact"/>
            </w:pPr>
            <w:r>
              <w:t xml:space="preserve">Synchronous polling</w:t>
            </w:r>
          </w:p>
        </w:tc>
        <w:tc>
          <w:tcPr/>
          <w:p>
            <w:pPr>
              <w:pStyle w:val="Compact"/>
            </w:pPr>
            <w:r>
              <w:t xml:space="preserve">Server-sent events only if polling proves inadequate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submission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Write-only,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extraction</w:t>
            </w:r>
          </w:p>
        </w:tc>
        <w:tc>
          <w:tcPr/>
          <w:p>
            <w:pPr>
              <w:pStyle w:val="Compact"/>
            </w:pPr>
            <w:r>
              <w:t xml:space="preserve">Synchronous, within the feedback request</w:t>
            </w:r>
          </w:p>
        </w:tc>
        <w:tc>
          <w:tcPr/>
          <w:p>
            <w:pPr>
              <w:pStyle w:val="Compact"/>
            </w:pPr>
            <w:r>
              <w:t xml:space="preserve">A single short call, and the user is awaiting the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on confirmation</w:t>
            </w:r>
          </w:p>
        </w:tc>
        <w:tc>
          <w:tcPr/>
          <w:p>
            <w:pPr>
              <w:pStyle w:val="Compact"/>
            </w:pPr>
            <w:r>
              <w:t xml:space="preserve">Synchronous</w:t>
            </w:r>
          </w:p>
        </w:tc>
        <w:tc>
          <w:tcPr/>
          <w:p>
            <w:pPr>
              <w:pStyle w:val="Compact"/>
            </w:pPr>
            <w:r>
              <w:t xml:space="preserve">Sub-second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runs</w:t>
            </w:r>
          </w:p>
        </w:tc>
        <w:tc>
          <w:tcPr/>
          <w:p>
            <w:pPr>
              <w:pStyle w:val="Compact"/>
            </w:pPr>
            <w:r>
              <w:t xml:space="preserve">Asynchronous, offline</w:t>
            </w:r>
          </w:p>
        </w:tc>
        <w:tc>
          <w:tcPr/>
          <w:p>
            <w:pPr>
              <w:pStyle w:val="Compact"/>
            </w:pPr>
            <w:r>
              <w:t xml:space="preserve">Minutes in duration. Never in a request path</w:t>
            </w:r>
          </w:p>
        </w:tc>
      </w:tr>
    </w:tbl>
    <w:bookmarkEnd w:id="48"/>
    <w:bookmarkEnd w:id="49"/>
    <w:bookmarkStart w:id="54" w:name="X8bd019142cf289fb6ec3c423b10ef40538825ab"/>
    <w:p>
      <w:pPr>
        <w:pStyle w:val="Heading2"/>
      </w:pPr>
      <w:r>
        <w:t xml:space="preserve">7. Deployment view</w:t>
      </w:r>
    </w:p>
    <w:p>
      <w:pPr>
        <w:pStyle w:val="FirstParagraph"/>
      </w:pPr>
      <w:r>
        <w:drawing>
          <wp:inline>
            <wp:extent cx="5943600" cy="548967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9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containers</w:t>
            </w:r>
          </w:p>
        </w:tc>
        <w:tc>
          <w:tcPr/>
          <w:p>
            <w:pPr>
              <w:pStyle w:val="Compact"/>
            </w:pPr>
            <w:r>
              <w:t xml:space="preserve">Reproducible startup from a clean checkout by a single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 container with a named volume</w:t>
            </w:r>
          </w:p>
        </w:tc>
        <w:tc>
          <w:tcPr/>
          <w:p>
            <w:pPr>
              <w:pStyle w:val="Compact"/>
            </w:pPr>
            <w:r>
              <w:t xml:space="preserve">State survives container replacement. Backup is a documented dump and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on the host, not containerized</w:t>
            </w:r>
          </w:p>
        </w:tc>
        <w:tc>
          <w:tcPr/>
          <w:p>
            <w:pPr>
              <w:pStyle w:val="Compact"/>
            </w:pPr>
            <w:r>
              <w:t xml:space="preserve">GPU passthrough on this platform adds operational friction without benefit. The container-to-host path is verified: on Docker Desktop,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</w:t>
            </w:r>
            <w:r>
              <w:t xml:space="preserve"> </w:t>
            </w:r>
            <w:r>
              <w:t xml:space="preserve">reaches the runtime on its default loopback binding, so no host-side binding change is required. A Linux-native engine has no equivalent host proxy and needs</w:t>
            </w:r>
            <w:r>
              <w:t xml:space="preserve"> </w:t>
            </w:r>
            <w:r>
              <w:rPr>
                <w:rStyle w:val="VerbatimChar"/>
              </w:rPr>
              <w:t xml:space="preserve">OLLAMA_HOST</w:t>
            </w:r>
            <w:r>
              <w:t xml:space="preserve"> </w:t>
            </w:r>
            <w:r>
              <w:t xml:space="preserve">widened with the port firewalled to the Docker subnet.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NOVA-SPK-003</w:t>
              </w:r>
            </w:hyperlink>
          </w:p>
        </w:tc>
      </w:tr>
    </w:tbl>
    <w:bookmarkEnd w:id="54"/>
    <w:bookmarkStart w:id="69" w:name="Xe161720d8f173dc806f57bcf779f8cec5fd411d"/>
    <w:p>
      <w:pPr>
        <w:pStyle w:val="Heading2"/>
      </w:pPr>
      <w:r>
        <w:t xml:space="preserve">8. Crosscutting concepts</w:t>
      </w:r>
    </w:p>
    <w:bookmarkStart w:id="55" w:name="X78d6bf23f72e8c8b9b53bbe0f221220dce841ba"/>
    <w:p>
      <w:pPr>
        <w:pStyle w:val="Heading3"/>
      </w:pPr>
      <w:r>
        <w:t xml:space="preserve">8.1 Domain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One execution of the requirement-to-plan workflow. The anchor for plan, trace, and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A summary and an ordered set of test cases, conforming to a versioned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A durable rule derived from a correction, carrying provenance, scope, confidence, and lifecycle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t xml:space="preserve">A named generation strategy: required case types, prompt fragment, check configuration. Versioned repository data, not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event</w:t>
            </w:r>
          </w:p>
        </w:tc>
        <w:tc>
          <w:tcPr/>
          <w:p>
            <w:pPr>
              <w:pStyle w:val="Compact"/>
            </w:pPr>
            <w:r>
              <w:t xml:space="preserve">An immutable record of one user judgment. The authoritative source from which scores are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trace</w:t>
            </w:r>
          </w:p>
        </w:tc>
        <w:tc>
          <w:tcPr/>
          <w:p>
            <w:pPr>
              <w:pStyle w:val="Compact"/>
            </w:pPr>
            <w:r>
              <w:t xml:space="preserve">The ordered record of every step, model call, and score for one task</w:t>
            </w:r>
          </w:p>
        </w:tc>
      </w:tr>
    </w:tbl>
    <w:bookmarkEnd w:id="55"/>
    <w:bookmarkStart w:id="60" w:name="X54ab6905bea0077cc6b51fa8507759d330d7de3"/>
    <w:p>
      <w:pPr>
        <w:pStyle w:val="Heading3"/>
      </w:pPr>
      <w:r>
        <w:t xml:space="preserve">8.2 Trust boundaries and security</w:t>
      </w:r>
    </w:p>
    <w:p>
      <w:pPr>
        <w:pStyle w:val="FirstParagraph"/>
      </w:pPr>
      <w:r>
        <w:drawing>
          <wp:inline>
            <wp:extent cx="5943600" cy="151596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Stored memory is a persistent injection vector. A single injected requirement affects one task. An</w:t>
      </w:r>
      <w:r>
        <w:t xml:space="preserve"> </w:t>
      </w:r>
      <w:r>
        <w:t xml:space="preserve">injection surviving extraction and confirmation is replayed into every subsequent prompt that</w:t>
      </w:r>
      <w:r>
        <w:t xml:space="preserve"> </w:t>
      </w:r>
      <w:r>
        <w:t xml:space="preserve">retrieves it, which is structurally equivalent to stored cross-site scripting.</w:t>
      </w:r>
    </w:p>
    <w:p>
      <w:pPr>
        <w:pStyle w:val="BodyText"/>
      </w:pPr>
      <w:r>
        <w:t xml:space="preserve">Seven layers apply, none relied upon alone: structural separation of untrusted content, constrained</w:t>
      </w:r>
      <w:r>
        <w:t xml:space="preserve"> </w:t>
      </w:r>
      <w:r>
        <w:t xml:space="preserve">decoding bounding the output shape, output validation, instruction-shape screening on candidates,</w:t>
      </w:r>
      <w:r>
        <w:t xml:space="preserve"> </w:t>
      </w:r>
      <w:r>
        <w:t xml:space="preserve">human confirmation, absence of any tool surface, and an adversarial regression suite. The sixth is</w:t>
      </w:r>
      <w:r>
        <w:t xml:space="preserve"> </w:t>
      </w:r>
      <w:r>
        <w:t xml:space="preserve">the strongest, and it derives from the architecture rather than from a filter.</w:t>
      </w:r>
    </w:p>
    <w:p>
      <w:pPr>
        <w:pStyle w:val="BodyText"/>
      </w:pPr>
      <w:r>
        <w:t xml:space="preserve">Full analysis in</w:t>
      </w:r>
      <w:r>
        <w:t xml:space="preserve"> </w:t>
      </w:r>
      <w:hyperlink r:id="rId59">
        <w:r>
          <w:rPr>
            <w:rStyle w:val="Hyperlink"/>
          </w:rPr>
          <w:t xml:space="preserve">NOVA-TM-001</w:t>
        </w:r>
      </w:hyperlink>
      <w:r>
        <w:t xml:space="preserve">.</w:t>
      </w:r>
    </w:p>
    <w:bookmarkEnd w:id="60"/>
    <w:bookmarkStart w:id="61" w:name="X613afa6fb932031f616a7d7ddc82a7fff03f0d1"/>
    <w:p>
      <w:pPr>
        <w:pStyle w:val="Heading3"/>
      </w:pPr>
      <w:r>
        <w:t xml:space="preserve">8.3 The learning mechanism</w:t>
      </w:r>
    </w:p>
    <w:p>
      <w:pPr>
        <w:pStyle w:val="FirstParagraph"/>
      </w:pPr>
      <w:r>
        <w:t xml:space="preserve">Adaptation occurs at five levels. None involves model weights.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Working context, assembled per task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Episodic records of tasks, outputs, outcomes</w:t>
            </w:r>
          </w:p>
        </w:tc>
        <w:tc>
          <w:tcPr/>
          <w:p>
            <w:pPr>
              <w:pStyle w:val="Compact"/>
            </w:pPr>
            <w:r>
              <w:t xml:space="preserve">Database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Semantic rules extracted from corrections</w:t>
            </w:r>
          </w:p>
        </w:tc>
        <w:tc>
          <w:tcPr/>
          <w:p>
            <w:pPr>
              <w:pStyle w:val="Compact"/>
            </w:pPr>
            <w:r>
              <w:t xml:space="preserve">Database rows with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Scored retrieval over those rules</w:t>
            </w:r>
          </w:p>
        </w:tc>
        <w:tc>
          <w:tcPr/>
          <w:p>
            <w:pPr>
              <w:pStyle w:val="Compact"/>
            </w:pPr>
            <w:r>
              <w:t xml:space="preserve">Query-time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Outcome-scored playbook selection</w:t>
            </w:r>
          </w:p>
        </w:tc>
        <w:tc>
          <w:tcPr/>
          <w:p>
            <w:pPr>
              <w:pStyle w:val="Compact"/>
            </w:pPr>
            <w:r>
              <w:t xml:space="preserve">Derived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Evaluation-gated configuration change</w:t>
            </w:r>
          </w:p>
        </w:tc>
        <w:tc>
          <w:tcPr/>
          <w:p>
            <w:pPr>
              <w:pStyle w:val="Compact"/>
            </w:pPr>
            <w:r>
              <w:t xml:space="preserve">Versioned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Feedback normalization.</w:t>
      </w:r>
      <w:r>
        <w:t xml:space="preserve"> </w:t>
      </w:r>
      <w:r>
        <w:t xml:space="preserve">Events map to a bounded score in [-1, +1]: unedited acceptance</w:t>
      </w:r>
      <w:r>
        <w:t xml:space="preserve"> </w:t>
      </w:r>
      <w:r>
        <w:rPr>
          <w:rStyle w:val="VerbatimChar"/>
        </w:rPr>
        <w:t xml:space="preserve">+1.0</w:t>
      </w:r>
      <w:r>
        <w:t xml:space="preserve">,</w:t>
      </w:r>
      <w:r>
        <w:t xml:space="preserve"> </w:t>
      </w:r>
      <w:r>
        <w:t xml:space="preserve">minor edit</w:t>
      </w:r>
      <w:r>
        <w:t xml:space="preserve"> </w:t>
      </w:r>
      <w:r>
        <w:rPr>
          <w:rStyle w:val="VerbatimChar"/>
        </w:rPr>
        <w:t xml:space="preserve">+0.5</w:t>
      </w:r>
      <w:r>
        <w:t xml:space="preserve">, major edit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rejection</w:t>
      </w:r>
      <w:r>
        <w:t xml:space="preserve"> </w:t>
      </w:r>
      <w:r>
        <w:rPr>
          <w:rStyle w:val="VerbatimChar"/>
        </w:rPr>
        <w:t xml:space="preserve">-1.0</w:t>
      </w:r>
      <w:r>
        <w:t xml:space="preserve">, user-added case</w:t>
      </w:r>
      <w:r>
        <w:t xml:space="preserve"> </w:t>
      </w:r>
      <w:r>
        <w:rPr>
          <w:rStyle w:val="VerbatimChar"/>
        </w:rPr>
        <w:t xml:space="preserve">-0.5</w:t>
      </w:r>
      <w:r>
        <w:t xml:space="preserve">, abandonment</w:t>
      </w:r>
      <w:r>
        <w:t xml:space="preserve"> </w:t>
      </w:r>
      <w:r>
        <w:rPr>
          <w:rStyle w:val="VerbatimChar"/>
        </w:rPr>
        <w:t xml:space="preserve">-0.2</w:t>
      </w:r>
      <w:r>
        <w:t xml:space="preserve">,</w:t>
      </w:r>
      <w:r>
        <w:t xml:space="preserve"> </w:t>
      </w:r>
      <w:r>
        <w:t xml:space="preserve">export</w:t>
      </w:r>
      <w:r>
        <w:t xml:space="preserve"> </w:t>
      </w:r>
      <w:r>
        <w:rPr>
          <w:rStyle w:val="VerbatimChar"/>
        </w:rPr>
        <w:t xml:space="preserve">+0.3</w:t>
      </w:r>
      <w:r>
        <w:t xml:space="preserve">. The task outcome is the clamped mean of case-level contributions.</w:t>
      </w:r>
    </w:p>
    <w:p>
      <w:pPr>
        <w:pStyle w:val="BodyText"/>
      </w:pPr>
      <w:r>
        <w:t xml:space="preserve">Three choices carry rationale. Clamping prevents a single large plan from dominating. A missed case</w:t>
      </w:r>
      <w:r>
        <w:t xml:space="preserve"> </w:t>
      </w:r>
      <w:r>
        <w:t xml:space="preserve">is penalized less than an incorrect one, because omission is cheaper to remedy than a false positive.</w:t>
      </w:r>
      <w:r>
        <w:t xml:space="preserve"> </w:t>
      </w:r>
      <w:r>
        <w:t xml:space="preserve">A major edit scores zero rather than negative, because the structure remained useful.</w:t>
      </w:r>
    </w:p>
    <w:p>
      <w:pPr>
        <w:pStyle w:val="BodyText"/>
      </w:pPr>
      <w:r>
        <w:t xml:space="preserve">Implicit signals (abandonment, export) are weighted well below explicit feedback and never</w:t>
      </w:r>
      <w:r>
        <w:t xml:space="preserve"> </w:t>
      </w:r>
      <w:r>
        <w:t xml:space="preserve">independently create or modify a memory. Abandonment is inherently ambiguous.</w:t>
      </w:r>
    </w:p>
    <w:p>
      <w:pPr>
        <w:pStyle w:val="BodyText"/>
      </w:pPr>
      <w:r>
        <w:rPr>
          <w:b/>
          <w:bCs/>
        </w:rPr>
        <w:t xml:space="preserve">Retrieval.</w:t>
      </w:r>
      <w:r>
        <w:t xml:space="preserve"> </w:t>
      </w:r>
      <w:r>
        <w:rPr>
          <w:rStyle w:val="VerbatimChar"/>
        </w:rPr>
        <w:t xml:space="preserve">score = w_sim Â· similarity + w_rec Â· recency + w_conf Â· confidence</w:t>
      </w:r>
      <w:r>
        <w:t xml:space="preserve">, initially</w:t>
      </w:r>
      <w:r>
        <w:t xml:space="preserve"> </w:t>
      </w:r>
      <w:r>
        <w:rPr>
          <w:rStyle w:val="VerbatimChar"/>
        </w:rPr>
        <w:t xml:space="preserve">0.6 / 0.2 / 0.2</w:t>
      </w:r>
      <w:r>
        <w:t xml:space="preserve">. Scope and tenant apply as filters before ranking. Pinned in-scope memories return</w:t>
      </w:r>
      <w:r>
        <w:t xml:space="preserve"> </w:t>
      </w:r>
      <w:r>
        <w:t xml:space="preserve">unconditionally. Component scores for every evaluated candidate, selected or not, are written to the</w:t>
      </w:r>
      <w:r>
        <w:t xml:space="preserve"> </w:t>
      </w:r>
      <w:r>
        <w:t xml:space="preserve">trace.</w:t>
      </w:r>
    </w:p>
    <w:p>
      <w:pPr>
        <w:pStyle w:val="BodyText"/>
      </w:pPr>
      <w:r>
        <w:rPr>
          <w:b/>
          <w:bCs/>
        </w:rPr>
        <w:t xml:space="preserve">Conflict handling.</w:t>
      </w:r>
      <w:r>
        <w:t xml:space="preserve"> </w:t>
      </w:r>
      <w:r>
        <w:t xml:space="preserve">Two in-scope memories that are semantically similar but prescriptively opposed</w:t>
      </w:r>
      <w:r>
        <w:t xml:space="preserve"> </w:t>
      </w:r>
      <w:r>
        <w:t xml:space="preserve">are surfaced, never merged. At confirmation the user chooses; at retrieval the higher product of</w:t>
      </w:r>
      <w:r>
        <w:t xml:space="preserve"> </w:t>
      </w:r>
      <w:r>
        <w:t xml:space="preserve">confidence and recency prevails and the conflict is flagged. Silent averaging would make the memory</w:t>
      </w:r>
      <w:r>
        <w:t xml:space="preserve"> </w:t>
      </w:r>
      <w:r>
        <w:t xml:space="preserve">store untrustworthy, because the user could no longer determine what the system holds to be true.</w:t>
      </w:r>
    </w:p>
    <w:p>
      <w:pPr>
        <w:pStyle w:val="BodyText"/>
      </w:pPr>
      <w:r>
        <w:rPr>
          <w:b/>
          <w:bCs/>
        </w:rPr>
        <w:t xml:space="preserve">Strategy selection.</w:t>
      </w:r>
      <w:r>
        <w:t xml:space="preserve"> </w:t>
      </w:r>
      <w:r>
        <w:t xml:space="preserve">Greedy over recorded outcome scores with probability</w:t>
      </w:r>
      <w:r>
        <w:t xml:space="preserve"> </w:t>
      </w:r>
      <w:r>
        <w:rPr>
          <w:rStyle w:val="VerbatimChar"/>
        </w:rPr>
        <w:t xml:space="preserve">1 - Îµ</w:t>
      </w:r>
      <w:r>
        <w:t xml:space="preserve">, uniform random</w:t>
      </w:r>
      <w:r>
        <w:t xml:space="preserve"> </w:t>
      </w:r>
      <w:r>
        <w:t xml:space="preserve">otherwise,</w:t>
      </w:r>
      <w:r>
        <w:t xml:space="preserve"> </w:t>
      </w:r>
      <w:r>
        <w:rPr>
          <w:rStyle w:val="VerbatimChar"/>
        </w:rPr>
        <w:t xml:space="preserve">Îµ</w:t>
      </w:r>
      <w:r>
        <w:t xml:space="preserve"> </w:t>
      </w:r>
      <w:r>
        <w:t xml:space="preserve">starting at 0.1 with a floor of 0.05. Updates are bounded and clamped, so no single</w:t>
      </w:r>
      <w:r>
        <w:t xml:space="preserve"> </w:t>
      </w:r>
      <w:r>
        <w:t xml:space="preserve">feedback event alters a selection. Below a minimum observation count the static default prevails.</w:t>
      </w:r>
    </w:p>
    <w:p>
      <w:pPr>
        <w:pStyle w:val="BodyText"/>
      </w:pPr>
      <w:r>
        <w:t xml:space="preserve">This is a bounded contextual bandit over four fixed options. It is not reinforcement learning and is</w:t>
      </w:r>
      <w:r>
        <w:t xml:space="preserve"> </w:t>
      </w:r>
      <w:r>
        <w:t xml:space="preserve">not described as such. Four arms and a scalar reward is a modest mechanism, but it is real,</w:t>
      </w:r>
      <w:r>
        <w:t xml:space="preserve"> </w:t>
      </w:r>
      <w:r>
        <w:t xml:space="preserve">scoreable, and explainable.</w:t>
      </w:r>
    </w:p>
    <w:p>
      <w:pPr>
        <w:pStyle w:val="BodyText"/>
      </w:pPr>
      <w:r>
        <w:t xml:space="preserve">Outcome scores are derived, never authoritative, and are recomputable from the immutable feedback</w:t>
      </w:r>
      <w:r>
        <w:t xml:space="preserve"> </w:t>
      </w:r>
      <w:r>
        <w:t xml:space="preserve">log. A poisoning incident or a change to the weighting scheme is therefore recoverable.</w:t>
      </w:r>
    </w:p>
    <w:bookmarkEnd w:id="61"/>
    <w:bookmarkStart w:id="63" w:name="Xe53e7bf73c01a3b5d6f06dc6e031dcb1e10772f"/>
    <w:p>
      <w:pPr>
        <w:pStyle w:val="Heading3"/>
      </w:pPr>
      <w:r>
        <w:t xml:space="preserve">8.4 Persistence</w:t>
      </w:r>
    </w:p>
    <w:p>
      <w:pPr>
        <w:pStyle w:val="FirstParagraph"/>
      </w:pPr>
      <w:r>
        <w:t xml:space="preserve">A single datastore holds relational and vector data. The determining argument is correctness rather</w:t>
      </w:r>
      <w:r>
        <w:t xml:space="preserve"> </w:t>
      </w:r>
      <w:r>
        <w:t xml:space="preserve">than performance: with separate stores, writing a memory requires two writes to two systems, and a</w:t>
      </w:r>
      <w:r>
        <w:t xml:space="preserve"> </w:t>
      </w:r>
      <w:r>
        <w:t xml:space="preserve">partial failure yields either orphaned vector data or a memory that exists but can never be</w:t>
      </w:r>
      <w:r>
        <w:t xml:space="preserve"> </w:t>
      </w:r>
      <w:r>
        <w:t xml:space="preserve">retrieved. The second fails silently and is indistinguishable from a system that has stopped</w:t>
      </w:r>
      <w:r>
        <w:t xml:space="preserve"> </w:t>
      </w:r>
      <w:r>
        <w:t xml:space="preserve">learning. Within one transaction the failure mode does not arise.</w:t>
      </w:r>
    </w:p>
    <w:p>
      <w:pPr>
        <w:pStyle w:val="BodyText"/>
      </w:pPr>
      <w:r>
        <w:t xml:space="preserve">The embedding dimension is fixed at schema creation. Changing the embedding model requires</w:t>
      </w:r>
      <w:r>
        <w:t xml:space="preserve"> </w:t>
      </w:r>
      <w:r>
        <w:t xml:space="preserve">re-embedding every memory and rebuilding the index. This is documented rather than discovered, and</w:t>
      </w:r>
      <w:r>
        <w:t xml:space="preserve"> </w:t>
      </w:r>
      <w:r>
        <w:t xml:space="preserve">is the reason the embedding decision was treated as blocking. It is settled: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 </w:t>
      </w:r>
      <w:r>
        <w:t xml:space="preserve">at 768</w:t>
      </w:r>
      <w:r>
        <w:t xml:space="preserve"> </w:t>
      </w:r>
      <w:r>
        <w:t xml:space="preserve">dimensions, per</w:t>
      </w:r>
      <w:r>
        <w:t xml:space="preserve"> </w:t>
      </w:r>
      <w:hyperlink r:id="rId62">
        <w:r>
          <w:rPr>
            <w:rStyle w:val="Hyperlink"/>
          </w:rPr>
          <w:t xml:space="preserve">ADR-0005</w:t>
        </w:r>
      </w:hyperlink>
      <w:r>
        <w:t xml:space="preserve"> </w:t>
      </w:r>
      <w:r>
        <w:t xml:space="preserve">on the</w:t>
      </w:r>
      <w:r>
        <w:t xml:space="preserve"> </w:t>
      </w:r>
      <w:r>
        <w:t xml:space="preserve">evidence in NOVA-SPK-002.</w:t>
      </w:r>
    </w:p>
    <w:bookmarkEnd w:id="63"/>
    <w:bookmarkStart w:id="64" w:name="X7c3202f2996dec89269bd78dc47bf3bf916604e"/>
    <w:p>
      <w:pPr>
        <w:pStyle w:val="Heading3"/>
      </w:pPr>
      <w:r>
        <w:t xml:space="preserve">8.5 Asynchronous execution</w:t>
      </w:r>
    </w:p>
    <w:p>
      <w:pPr>
        <w:pStyle w:val="FirstParagraph"/>
      </w:pPr>
      <w:r>
        <w:t xml:space="preserve">Jobs are rows claimed under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with a lease that expires. Because</w:t>
      </w:r>
      <w:r>
        <w:t xml:space="preserve"> </w:t>
      </w:r>
      <w:r>
        <w:t xml:space="preserve">the job row shares a transaction with the task record, no window exists in which a task is present</w:t>
      </w:r>
      <w:r>
        <w:t xml:space="preserve"> </w:t>
      </w:r>
      <w:r>
        <w:t xml:space="preserve">without its job. Diagnosis of a stalled job is a query rather than an operational investigation.</w:t>
      </w:r>
    </w:p>
    <w:bookmarkEnd w:id="64"/>
    <w:bookmarkStart w:id="65" w:name="Xddafc9ad46dc74e5ac7dc04087102cb1f819d05"/>
    <w:p>
      <w:pPr>
        <w:pStyle w:val="Heading3"/>
      </w:pPr>
      <w:r>
        <w:t xml:space="preserve">8.6 Error handling</w:t>
      </w:r>
    </w:p>
    <w:p>
      <w:pPr>
        <w:pStyle w:val="FirstParagraph"/>
      </w:pPr>
      <w:r>
        <w:t xml:space="preserve">Errors are returned in RFC 9457 problem-detail form, giving one shape for every failure and one</w:t>
      </w:r>
      <w:r>
        <w:t xml:space="preserve"> </w:t>
      </w:r>
      <w:r>
        <w:t xml:space="preserve">rendering component. Every retry loop is bounded with a defined terminal state.</w:t>
      </w:r>
    </w:p>
    <w:p>
      <w:pPr>
        <w:pStyle w:val="BodyText"/>
      </w:pPr>
      <w:r>
        <w:t xml:space="preserve">Trace steps are written as they complete, so a task failing at generation still exposes its playbook</w:t>
      </w:r>
      <w:r>
        <w:t xml:space="preserve"> </w:t>
      </w:r>
      <w:r>
        <w:t xml:space="preserve">selection and retrieval results.</w:t>
      </w:r>
    </w:p>
    <w:bookmarkEnd w:id="65"/>
    <w:bookmarkStart w:id="66" w:name="Xf9d0b37f5a678074537481b80cd54dc191d53c9"/>
    <w:p>
      <w:pPr>
        <w:pStyle w:val="Heading3"/>
      </w:pPr>
      <w:r>
        <w:t xml:space="preserve">8.7 Observability</w:t>
      </w:r>
    </w:p>
    <w:p>
      <w:pPr>
        <w:pStyle w:val="FirstParagraph"/>
      </w:pPr>
      <w:r>
        <w:t xml:space="preserve">Spans correlate across API, worker, and inference calls. Logs carry identifiers and prompt digests,</w:t>
      </w:r>
      <w:r>
        <w:t xml:space="preserve"> </w:t>
      </w:r>
      <w:r>
        <w:t xml:space="preserve">never requirement text or memory content, and an automated assertion enforces this. Content logging</w:t>
      </w:r>
      <w:r>
        <w:t xml:space="preserve"> </w:t>
      </w:r>
      <w:r>
        <w:t xml:space="preserve">exists only as an explicit debug mode. Logging failure degrades to standard output and never blocks</w:t>
      </w:r>
      <w:r>
        <w:t xml:space="preserve"> </w:t>
      </w:r>
      <w:r>
        <w:t xml:space="preserve">task execution.</w:t>
      </w:r>
    </w:p>
    <w:p>
      <w:pPr>
        <w:pStyle w:val="BodyText"/>
      </w:pPr>
      <w:r>
        <w:t xml:space="preserve">Content-free logging is not incidental. Local inference is the confidentiality property, and logs</w:t>
      </w:r>
      <w:r>
        <w:t xml:space="preserve"> </w:t>
      </w:r>
      <w:r>
        <w:t xml:space="preserve">are the most probable route by which it would be undermined.</w:t>
      </w:r>
    </w:p>
    <w:bookmarkEnd w:id="66"/>
    <w:bookmarkStart w:id="67" w:name="X59575d66f95af07a9e4da5106f2f0f30ba5dff0"/>
    <w:p>
      <w:pPr>
        <w:pStyle w:val="Heading3"/>
      </w:pPr>
      <w:r>
        <w:t xml:space="preserve">8.8 Configuration and versioning</w:t>
      </w:r>
    </w:p>
    <w:p>
      <w:pPr>
        <w:pStyle w:val="FirstParagraph"/>
      </w:pPr>
      <w:r>
        <w:t xml:space="preserve">Prompt templates, retrieval weights, exploration rate, and model configuration are held as versioned</w:t>
      </w:r>
      <w:r>
        <w:t xml:space="preserve"> </w:t>
      </w:r>
      <w:r>
        <w:t xml:space="preserve">records. A version reaches active status only with an associated passing evaluation run, enforced as</w:t>
      </w:r>
      <w:r>
        <w:t xml:space="preserve"> </w:t>
      </w:r>
      <w:r>
        <w:t xml:space="preserve">a data-layer constraint rather than an interface check.</w:t>
      </w:r>
    </w:p>
    <w:p>
      <w:pPr>
        <w:pStyle w:val="BodyText"/>
      </w:pPr>
      <w:r>
        <w:t xml:space="preserve">Every task pins the configuration version under which it executed. Without that pin, historical</w:t>
      </w:r>
      <w:r>
        <w:t xml:space="preserve"> </w:t>
      </w:r>
      <w:r>
        <w:t xml:space="preserve">results are uninterpretable and regression comparison is meaningless.</w:t>
      </w:r>
    </w:p>
    <w:bookmarkEnd w:id="67"/>
    <w:bookmarkStart w:id="68" w:name="X64ec02dc60f3d81da6b07a9685c839f7260380c"/>
    <w:p>
      <w:pPr>
        <w:pStyle w:val="Heading3"/>
      </w:pPr>
      <w:r>
        <w:t xml:space="preserve">8.9 Testability</w:t>
      </w:r>
    </w:p>
    <w:p>
      <w:pPr>
        <w:pStyle w:val="FirstParagraph"/>
      </w:pPr>
      <w:r>
        <w:t xml:space="preserve">Deterministic checks precede model-based review. Integration tests execute against a real datastore</w:t>
      </w:r>
      <w:r>
        <w:t xml:space="preserve"> </w:t>
      </w:r>
      <w:r>
        <w:t xml:space="preserve">and a fake inference provider, because they exist to verify wiring, and model behaviour is the</w:t>
      </w:r>
      <w:r>
        <w:t xml:space="preserve"> </w:t>
      </w:r>
      <w:r>
        <w:t xml:space="preserve">evaluation layer's concern. Both provider implementations satisfy a shared contract suite.</w:t>
      </w:r>
    </w:p>
    <w:bookmarkEnd w:id="68"/>
    <w:bookmarkEnd w:id="69"/>
    <w:bookmarkStart w:id="71" w:name="Xcc5692e33ab3fc93d2ddf24b8d4e82b5b863139"/>
    <w:p>
      <w:pPr>
        <w:pStyle w:val="Heading2"/>
      </w:pPr>
      <w:r>
        <w:t xml:space="preserve">9. Architecture decisions</w:t>
      </w:r>
    </w:p>
    <w:p>
      <w:pPr>
        <w:pStyle w:val="FirstParagraph"/>
      </w:pPr>
      <w:r>
        <w:t xml:space="preserve">Significant decisions are recorded as ADRs in MADR 4.0 format. Remaining decisions are held in</w:t>
      </w:r>
      <w:r>
        <w:t xml:space="preserve"> </w:t>
      </w:r>
      <w:hyperlink r:id="rId70">
        <w:r>
          <w:rPr>
            <w:rStyle w:val="Hyperlink"/>
          </w:rPr>
          <w:t xml:space="preserve">NOVA-DL-001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PostgreSQL with pgvector as the sole datastore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 table and polling worker rather than a message broker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agent framework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Mandatory human confirmation for memory writes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Embedding model and vector dimension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</w:tbl>
    <w:bookmarkEnd w:id="71"/>
    <w:bookmarkStart w:id="77" w:name="X0e95e9cc01008fd85211210bb98668ff898672b"/>
    <w:p>
      <w:pPr>
        <w:pStyle w:val="Heading2"/>
      </w:pPr>
      <w:r>
        <w:t xml:space="preserve">10. Quality requirements</w:t>
      </w:r>
    </w:p>
    <w:bookmarkStart w:id="75" w:name="X811c158ed678f7c7313f13ff0d33514deb126df"/>
    <w:p>
      <w:pPr>
        <w:pStyle w:val="Heading3"/>
      </w:pPr>
      <w:r>
        <w:t xml:space="preserve">10.1 Quality tree</w:t>
      </w:r>
    </w:p>
    <w:p>
      <w:pPr>
        <w:pStyle w:val="FirstParagraph"/>
      </w:pPr>
      <w:r>
        <w:drawing>
          <wp:inline>
            <wp:extent cx="5943600" cy="962844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/Users/laxmi/AppData/Local/Temp/nova-docs-458a248a/architecture-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X53ea30c64f45e23e8d1e8449f595c20cc065ece"/>
    <w:p>
      <w:pPr>
        <w:pStyle w:val="Heading3"/>
      </w:pPr>
      <w:r>
        <w:t xml:space="preserve">10.2 Quality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Required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QS-1</w:t>
            </w:r>
          </w:p>
        </w:tc>
        <w:tc>
          <w:tcPr/>
          <w:p>
            <w:pPr>
              <w:pStyle w:val="Compact"/>
            </w:pPr>
            <w:r>
              <w:t xml:space="preserve">A correction is submitted whose text is shaped as a system instruction</w:t>
            </w:r>
          </w:p>
        </w:tc>
        <w:tc>
          <w:tcPr/>
          <w:p>
            <w:pPr>
              <w:pStyle w:val="Compact"/>
            </w:pPr>
            <w:r>
              <w:t xml:space="preserve">Malicious or accidental input</w:t>
            </w:r>
          </w:p>
        </w:tc>
        <w:tc>
          <w:tcPr/>
          <w:p>
            <w:pPr>
              <w:pStyle w:val="Compact"/>
            </w:pPr>
            <w:r>
              <w:t xml:space="preserve">Screened and flagged. Never stored without explicit user action on the flagged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QS-2</w:t>
            </w:r>
          </w:p>
        </w:tc>
        <w:tc>
          <w:tcPr/>
          <w:p>
            <w:pPr>
              <w:pStyle w:val="Compact"/>
            </w:pPr>
            <w:r>
              <w:t xml:space="preserve">Retrieval is performed for one tenant while another holds highly similar memories</w:t>
            </w:r>
          </w:p>
        </w:tc>
        <w:tc>
          <w:tcPr/>
          <w:p>
            <w:pPr>
              <w:pStyle w:val="Compact"/>
            </w:pPr>
            <w:r>
              <w:t xml:space="preserve">Query execution</w:t>
            </w:r>
          </w:p>
        </w:tc>
        <w:tc>
          <w:tcPr/>
          <w:p>
            <w:pPr>
              <w:pStyle w:val="Compact"/>
            </w:pPr>
            <w:r>
              <w:t xml:space="preserve">Zero records from the other tenant. Verified as an unconditional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QS-3</w:t>
            </w:r>
          </w:p>
        </w:tc>
        <w:tc>
          <w:tcPr/>
          <w:p>
            <w:pPr>
              <w:pStyle w:val="Compact"/>
            </w:pPr>
            <w:r>
              <w:t xml:space="preserve">A task fails during generation</w:t>
            </w:r>
          </w:p>
        </w:tc>
        <w:tc>
          <w:tcPr/>
          <w:p>
            <w:pPr>
              <w:pStyle w:val="Compact"/>
            </w:pPr>
            <w:r>
              <w:t xml:space="preserve">Provider timeout</w:t>
            </w:r>
          </w:p>
        </w:tc>
        <w:tc>
          <w:tcPr/>
          <w:p>
            <w:pPr>
              <w:pStyle w:val="Compact"/>
            </w:pPr>
            <w:r>
              <w:t xml:space="preserve">Playbook selection and retrieval results remain inspectable in the persisted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QS-4</w:t>
            </w:r>
          </w:p>
        </w:tc>
        <w:tc>
          <w:tcPr/>
          <w:p>
            <w:pPr>
              <w:pStyle w:val="Compact"/>
            </w:pPr>
            <w:r>
              <w:t xml:space="preserve">Output omits an expected test case</w:t>
            </w:r>
          </w:p>
        </w:tc>
        <w:tc>
          <w:tcPr/>
          <w:p>
            <w:pPr>
              <w:pStyle w:val="Compact"/>
            </w:pPr>
            <w:r>
              <w:t xml:space="preserve">User review</w:t>
            </w:r>
          </w:p>
        </w:tc>
        <w:tc>
          <w:tcPr/>
          <w:p>
            <w:pPr>
              <w:pStyle w:val="Compact"/>
            </w:pPr>
            <w:r>
              <w:t xml:space="preserve">The trace distinguishes a memory that was never retrieved from one retrieved and not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QS-5</w:t>
            </w:r>
          </w:p>
        </w:tc>
        <w:tc>
          <w:tcPr/>
          <w:p>
            <w:pPr>
              <w:pStyle w:val="Compact"/>
            </w:pPr>
            <w:r>
              <w:t xml:space="preserve">A prompt change degrades output quality</w:t>
            </w:r>
          </w:p>
        </w:tc>
        <w:tc>
          <w:tcPr/>
          <w:p>
            <w:pPr>
              <w:pStyle w:val="Compact"/>
            </w:pPr>
            <w:r>
              <w:t xml:space="preserve">Configuration change submitted</w:t>
            </w:r>
          </w:p>
        </w:tc>
        <w:tc>
          <w:tcPr/>
          <w:p>
            <w:pPr>
              <w:pStyle w:val="Compact"/>
            </w:pPr>
            <w:r>
              <w:t xml:space="preserve">The regression gate blocks activation before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QS-6</w:t>
            </w:r>
          </w:p>
        </w:tc>
        <w:tc>
          <w:tcPr/>
          <w:p>
            <w:pPr>
              <w:pStyle w:val="Compact"/>
            </w:pPr>
            <w:r>
              <w:t xml:space="preserve">A prior execution must be reproduced</w:t>
            </w:r>
          </w:p>
        </w:tc>
        <w:tc>
          <w:tcPr/>
          <w:p>
            <w:pPr>
              <w:pStyle w:val="Compact"/>
            </w:pPr>
            <w:r>
              <w:t xml:space="preserve">Same input, seed, model, configuration version</w:t>
            </w:r>
          </w:p>
        </w:tc>
        <w:tc>
          <w:tcPr/>
          <w:p>
            <w:pPr>
              <w:pStyle w:val="Compact"/>
            </w:pPr>
            <w:r>
              <w:t xml:space="preserve">Equivalent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QS-7</w:t>
            </w:r>
          </w:p>
        </w:tc>
        <w:tc>
          <w:tcPr/>
          <w:p>
            <w:pPr>
              <w:pStyle w:val="Compact"/>
            </w:pPr>
            <w:r>
              <w:t xml:space="preserve">A hosted provider becomes selected</w:t>
            </w:r>
          </w:p>
        </w:tc>
        <w:tc>
          <w:tcPr/>
          <w:p>
            <w:pPr>
              <w:pStyle w:val="Compact"/>
            </w:pPr>
            <w:r>
              <w:t xml:space="preserve">Configuration action</w:t>
            </w:r>
          </w:p>
        </w:tc>
        <w:tc>
          <w:tcPr/>
          <w:p>
            <w:pPr>
              <w:pStyle w:val="Compact"/>
            </w:pPr>
            <w:r>
              <w:t xml:space="preserve">Only through explicit user action. Never as a fallback. Visible in the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QS-8</w:t>
            </w:r>
          </w:p>
        </w:tc>
        <w:tc>
          <w:tcPr/>
          <w:p>
            <w:pPr>
              <w:pStyle w:val="Compact"/>
            </w:pPr>
            <w:r>
              <w:t xml:space="preserve">The worker process terminates mid-task</w:t>
            </w:r>
          </w:p>
        </w:tc>
        <w:tc>
          <w:tcPr/>
          <w:p>
            <w:pPr>
              <w:pStyle w:val="Compact"/>
            </w:pPr>
            <w:r>
              <w:t xml:space="preserve">Process failure</w:t>
            </w:r>
          </w:p>
        </w:tc>
        <w:tc>
          <w:tcPr/>
          <w:p>
            <w:pPr>
              <w:pStyle w:val="Compact"/>
            </w:pPr>
            <w:r>
              <w:t xml:space="preserve">The job is reclaimed after lease expiry. The partial trace survives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QS-9</w:t>
            </w:r>
          </w:p>
        </w:tc>
        <w:tc>
          <w:tcPr/>
          <w:p>
            <w:pPr>
              <w:pStyle w:val="Compact"/>
            </w:pPr>
            <w:r>
              <w:t xml:space="preserve">The inference runtime is unavailable</w:t>
            </w:r>
          </w:p>
        </w:tc>
        <w:tc>
          <w:tcPr/>
          <w:p>
            <w:pPr>
              <w:pStyle w:val="Compact"/>
            </w:pPr>
            <w:r>
              <w:t xml:space="preserve">Dependency failure</w:t>
            </w:r>
          </w:p>
        </w:tc>
        <w:tc>
          <w:tcPr/>
          <w:p>
            <w:pPr>
              <w:pStyle w:val="Compact"/>
            </w:pPr>
            <w:r>
              <w:t xml:space="preserve">Submission still succeeds and queues. Readiness reports unhealthy. The error names the required action</w:t>
            </w:r>
          </w:p>
        </w:tc>
      </w:tr>
    </w:tbl>
    <w:bookmarkEnd w:id="76"/>
    <w:bookmarkEnd w:id="77"/>
    <w:bookmarkStart w:id="79" w:name="X7a1ea36a35f71b8e1640e72d2b209f06fccbf28"/>
    <w:p>
      <w:pPr>
        <w:pStyle w:val="Heading2"/>
      </w:pPr>
      <w:r>
        <w:t xml:space="preserve">11. Risks and technical debt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 or debt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Correction extraction may not reach usable precision on a local model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Measured at a defined checkpoint before dependent interface work. Fallback is user-authored rules with model assistance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Inference nondeterminism may exceed evaluation gate margins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Variance measured before any threshold is set. Dataset grows rather than thresholds loosening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The Correction Recurrence Rate depends on a structural similarity threshold that is difficult to defend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Threshold fixed from measured distributions, documented, held constant, and always reported alongside retrieval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Container-to-host inference reachability is unverified on this platform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2026-09-09.</w:t>
            </w:r>
            <w:r>
              <w:t xml:space="preserve"> </w:t>
            </w:r>
            <w:r>
              <w:t xml:space="preserve">Reachable with the inference runtime on its default loopback binding, through Docker Desktop's host proxy.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NOVA-SPK-003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Persistent injection defences are unproven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adversarial suite establishes a floor, not a guarantee, and is described as such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The model review stage may not justify its latency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Designed to be removable. Measured before and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R-16</w:t>
            </w:r>
          </w:p>
        </w:tc>
        <w:tc>
          <w:tcPr/>
          <w:p>
            <w:pPr>
              <w:pStyle w:val="Compact"/>
            </w:pPr>
            <w:r>
              <w:t xml:space="preserve">Introducing any tool capability would invalidate the security model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Recorded so that the consequence is not overlooked. Such a change requires rewriting NOVA-TM-001 rather than amending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Trace volume has no pruning policy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Acceptable at single-user scale. Named so it is not discovered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Memory conflict resolution is manual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Does not scale beyond a moderate memory count. Acceptable at expected volume</w:t>
            </w:r>
          </w:p>
        </w:tc>
      </w:tr>
    </w:tbl>
    <w:p>
      <w:pPr>
        <w:pStyle w:val="BodyText"/>
      </w:pPr>
      <w:r>
        <w:t xml:space="preserve">Full register:</w:t>
      </w:r>
      <w:r>
        <w:t xml:space="preserve"> </w:t>
      </w:r>
      <w:hyperlink r:id="rId78">
        <w:r>
          <w:rPr>
            <w:rStyle w:val="Hyperlink"/>
          </w:rPr>
          <w:t xml:space="preserve">NOVA-RR-001</w:t>
        </w:r>
      </w:hyperlink>
      <w:r>
        <w:t xml:space="preserve">.</w:t>
      </w:r>
    </w:p>
    <w:bookmarkEnd w:id="79"/>
    <w:bookmarkStart w:id="81" w:name="X3d29c9c930e7bea12d62a5482ba454eaf942e6b"/>
    <w:p>
      <w:pPr>
        <w:pStyle w:val="Heading2"/>
      </w:pPr>
      <w:r>
        <w:t xml:space="preserve">12. Glossary</w:t>
      </w:r>
    </w:p>
    <w:p>
      <w:pPr>
        <w:pStyle w:val="FirstParagraph"/>
      </w:pPr>
      <w:r>
        <w:t xml:space="preserve">See</w:t>
      </w:r>
      <w:r>
        <w:t xml:space="preserve"> </w:t>
      </w:r>
      <w:hyperlink r:id="rId80">
        <w:r>
          <w:rPr>
            <w:rStyle w:val="Hyperlink"/>
          </w:rPr>
          <w:t xml:space="preserve">NOVA-SRS-001 section 1.4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Embedding dimension fixed at 768 in section 8.4. R-04 moved to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R-08 moved to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R-09 moved to closed. Section 7 records the verified container-to-host path and the Linux-engine caveat</w:t>
            </w:r>
          </w:p>
        </w:tc>
      </w:tr>
    </w:tbl>
    <w:bookmarkEnd w:id="82"/>
    <w:bookmarkEnd w:id="83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72" Target="media/rId72.png" /><Relationship Type="http://schemas.openxmlformats.org/officeDocument/2006/relationships/hyperlink" Id="rId22" Target="adr/0001-use-postgres-with-pgvector-as-sole-datastore.md" TargetMode="External" /><Relationship Type="http://schemas.openxmlformats.org/officeDocument/2006/relationships/hyperlink" Id="rId23" Target="adr/0002-use-a-postgres-job-table-for-async-execution.md" TargetMode="External" /><Relationship Type="http://schemas.openxmlformats.org/officeDocument/2006/relationships/hyperlink" Id="rId24" Target="adr/0003-do-not-use-an-agent-framework.md" TargetMode="External" /><Relationship Type="http://schemas.openxmlformats.org/officeDocument/2006/relationships/hyperlink" Id="rId21" Target="adr/0004-require-human-confirmation-for-memory-writes.md" TargetMode="External" /><Relationship Type="http://schemas.openxmlformats.org/officeDocument/2006/relationships/hyperlink" Id="rId62" Target="adr/0005-select-an-embedding-model-and-vector-dimension.md" TargetMode="External" /><Relationship Type="http://schemas.openxmlformats.org/officeDocument/2006/relationships/hyperlink" Id="rId70" Target="decision-log.md" TargetMode="External" /><Relationship Type="http://schemas.openxmlformats.org/officeDocument/2006/relationships/hyperlink" Id="rId78" Target="risk-register.md" TargetMode="External" /><Relationship Type="http://schemas.openxmlformats.org/officeDocument/2006/relationships/hyperlink" Id="rId53" Target="spikes/2026-09-09-container-to-host-reachability.md" TargetMode="External" /><Relationship Type="http://schemas.openxmlformats.org/officeDocument/2006/relationships/hyperlink" Id="rId9" Target="srs.md" TargetMode="External" /><Relationship Type="http://schemas.openxmlformats.org/officeDocument/2006/relationships/hyperlink" Id="rId80" Target="srs.md#14-definitions-acronyms-and-abbreviations" TargetMode="External" /><Relationship Type="http://schemas.openxmlformats.org/officeDocument/2006/relationships/hyperlink" Id="rId59" Target="threat-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dr/0001-use-postgres-with-pgvector-as-sole-datastore.md" TargetMode="External" /><Relationship Type="http://schemas.openxmlformats.org/officeDocument/2006/relationships/hyperlink" Id="rId23" Target="adr/0002-use-a-postgres-job-table-for-async-execution.md" TargetMode="External" /><Relationship Type="http://schemas.openxmlformats.org/officeDocument/2006/relationships/hyperlink" Id="rId24" Target="adr/0003-do-not-use-an-agent-framework.md" TargetMode="External" /><Relationship Type="http://schemas.openxmlformats.org/officeDocument/2006/relationships/hyperlink" Id="rId21" Target="adr/0004-require-human-confirmation-for-memory-writes.md" TargetMode="External" /><Relationship Type="http://schemas.openxmlformats.org/officeDocument/2006/relationships/hyperlink" Id="rId62" Target="adr/0005-select-an-embedding-model-and-vector-dimension.md" TargetMode="External" /><Relationship Type="http://schemas.openxmlformats.org/officeDocument/2006/relationships/hyperlink" Id="rId70" Target="decision-log.md" TargetMode="External" /><Relationship Type="http://schemas.openxmlformats.org/officeDocument/2006/relationships/hyperlink" Id="rId78" Target="risk-register.md" TargetMode="External" /><Relationship Type="http://schemas.openxmlformats.org/officeDocument/2006/relationships/hyperlink" Id="rId53" Target="spikes/2026-09-09-container-to-host-reachability.md" TargetMode="External" /><Relationship Type="http://schemas.openxmlformats.org/officeDocument/2006/relationships/hyperlink" Id="rId9" Target="srs.md" TargetMode="External" /><Relationship Type="http://schemas.openxmlformats.org/officeDocument/2006/relationships/hyperlink" Id="rId80" Target="srs.md#14-definitions-acronyms-and-abbreviations" TargetMode="External" /><Relationship Type="http://schemas.openxmlformats.org/officeDocument/2006/relationships/hyperlink" Id="rId59" Target="threat-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2026-09-10T03:38:05Z</dcterms:created>
  <dcterms:modified xsi:type="dcterms:W3CDTF">2026-09-10T03:38:05Z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