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risk-register"/>
    <w:p>
      <w:pPr>
        <w:pStyle w:val="Heading1"/>
      </w:pPr>
      <w:r>
        <w:t xml:space="preserve">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NOVA-RR-001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cadence</w:t>
            </w:r>
          </w:p>
        </w:tc>
        <w:tc>
          <w:tcPr/>
          <w:p>
            <w:pPr>
              <w:pStyle w:val="Compact"/>
            </w:pPr>
            <w:r>
              <w:t xml:space="preserve">Milestone boundaries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f4a7604dfd0523b47931116010507411b222057"/>
    <w:p>
      <w:pPr>
        <w:pStyle w:val="Heading2"/>
      </w:pPr>
      <w:r>
        <w:t xml:space="preserve">1. Method</w:t>
      </w:r>
    </w:p>
    <w:p>
      <w:pPr>
        <w:pStyle w:val="FirstParagraph"/>
      </w:pPr>
      <w:r>
        <w:t xml:space="preserve">Risks are assessed on likelihood and impact, with impact measured against the project's central</w:t>
      </w:r>
      <w:r>
        <w:t xml:space="preserve"> </w:t>
      </w:r>
      <w:r>
        <w:t xml:space="preserve">claim rather than against schedule alone. A risk that delays delivery is less severe than one that</w:t>
      </w:r>
      <w:r>
        <w:t xml:space="preserve"> </w:t>
      </w:r>
      <w:r>
        <w:t xml:space="preserve">undermines the evidence for the claim.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More likely than not on current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Plausible, with no evidence either 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Contradicted by evidence or by design, but not eliminated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The central claim cannot be evidenced, or data is disclosed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 primary capability is lost or substantially degraded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Rework, or a metric loses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Inconvenience, or a secondary capability is affected</w:t>
            </w:r>
          </w:p>
        </w:tc>
      </w:tr>
    </w:tbl>
    <w:p>
      <w:pPr>
        <w:pStyle w:val="BodyText"/>
      </w:pPr>
      <w:r>
        <w:t xml:space="preserve">Response strategies follow ISO 31000:</w:t>
      </w:r>
      <w:r>
        <w:t xml:space="preserve"> </w:t>
      </w:r>
      <w:r>
        <w:rPr>
          <w:b/>
          <w:bCs/>
        </w:rPr>
        <w:t xml:space="preserve">avoid</w:t>
      </w:r>
      <w:r>
        <w:t xml:space="preserve">,</w:t>
      </w:r>
      <w:r>
        <w:t xml:space="preserve"> </w:t>
      </w:r>
      <w:r>
        <w:rPr>
          <w:b/>
          <w:bCs/>
        </w:rPr>
        <w:t xml:space="preserve">reduce</w:t>
      </w:r>
      <w:r>
        <w:t xml:space="preserve">,</w:t>
      </w:r>
      <w:r>
        <w:t xml:space="preserve"> </w:t>
      </w:r>
      <w:r>
        <w:rPr>
          <w:b/>
          <w:bCs/>
        </w:rPr>
        <w:t xml:space="preserve">transfer</w:t>
      </w:r>
      <w:r>
        <w:t xml:space="preserve">,</w:t>
      </w:r>
      <w:r>
        <w:t xml:space="preserve"> </w:t>
      </w:r>
      <w:r>
        <w:rPr>
          <w:b/>
          <w:bCs/>
        </w:rPr>
        <w:t xml:space="preserve">accept</w:t>
      </w:r>
      <w:r>
        <w:t xml:space="preserve">.</w:t>
      </w:r>
    </w:p>
    <w:p>
      <w:pPr>
        <w:pStyle w:val="BodyText"/>
      </w:pPr>
      <w:r>
        <w:t xml:space="preserve">A risk closes only when evidence closes it. A planned mitigation does not close a risk, and neither</w:t>
      </w:r>
      <w:r>
        <w:t xml:space="preserve"> </w:t>
      </w:r>
      <w:r>
        <w:t xml:space="preserve">does elapsed time. A closed risk keeps the identifier it was tracked under and moves to section 3;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R-Cn</w:t>
      </w:r>
      <w:r>
        <w:t xml:space="preserve"> </w:t>
      </w:r>
      <w:r>
        <w:t xml:space="preserve">identifiers belong to risks that were identified and closed without ever being active.</w:t>
      </w:r>
    </w:p>
    <w:bookmarkEnd w:id="9"/>
    <w:bookmarkStart w:id="10" w:name="X8af35e42027a1cc203c5cacfa6d22891c04cb07"/>
    <w:p>
      <w:pPr>
        <w:pStyle w:val="Heading2"/>
      </w:pPr>
      <w:r>
        <w:t xml:space="preserve">2. Active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Trigger or indicator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Correction extraction does not reach usable precision on a 4B-parameter model. Candidates prove overbroad, trivial, or incorrect often enough that confirmation becomes an obstacle rather than a safeguard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</w:p>
        </w:tc>
        <w:tc>
          <w:tcPr/>
          <w:p>
            <w:pPr>
              <w:pStyle w:val="Compact"/>
            </w:pPr>
            <w:r>
              <w:t xml:space="preserve">Precision measured against approximately 15 hand-labelled authentic corrections at a defined checkpoint, before dependent interface work. Fallback is user-authored rules with model assistance</w:t>
            </w:r>
          </w:p>
        </w:tc>
        <w:tc>
          <w:tcPr/>
          <w:p>
            <w:pPr>
              <w:pStyle w:val="Compact"/>
            </w:pPr>
            <w:r>
              <w:t xml:space="preserve">Precision below a usable threshold at the M3 checkpoint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Evaluation dataset construction is underestimated. Approximately 50 stratified cases with precisely stated expected properties represents 15 to 25 hours of authoring on the critical path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</w:p>
        </w:tc>
        <w:tc>
          <w:tcPr/>
          <w:p>
            <w:pPr>
              <w:pStyle w:val="Compact"/>
            </w:pPr>
            <w:r>
              <w:t xml:space="preserve">Authoring begins two milestones early. Twenty cases already exist from the model selection spike and transfer directly, removing approximately one third of the effort</w:t>
            </w:r>
          </w:p>
        </w:tc>
        <w:tc>
          <w:tcPr/>
          <w:p>
            <w:pPr>
              <w:pStyle w:val="Compact"/>
            </w:pPr>
            <w:r>
              <w:t xml:space="preserve">Fewer than 30 cases authored by the start of M5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Inference nondeterminism exceeds gate margins and the regression gate becomes unstable. An unstable gate is disabled in practice, and a disabled gate is worse than none because it presents as protection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</w:p>
        </w:tc>
        <w:tc>
          <w:tcPr/>
          <w:p>
            <w:pPr>
              <w:pStyle w:val="Compact"/>
            </w:pPr>
            <w:r>
              <w:t xml:space="preserve">Run-over-run variance measured before any threshold is set. Where variance is excessive, the dataset is enlarged rather than thresholds loosened</w:t>
            </w:r>
          </w:p>
        </w:tc>
        <w:tc>
          <w:tcPr/>
          <w:p>
            <w:pPr>
              <w:pStyle w:val="Compact"/>
            </w:pPr>
            <w:r>
              <w:t xml:space="preserve">Identical inputs producing divergent gate verdicts across runs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The Correction Recurrence Rate depends on a structural similarity threshold that is difficult to defend, and the primary metric is only as sound as that choice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</w:p>
        </w:tc>
        <w:tc>
          <w:tcPr/>
          <w:p>
            <w:pPr>
              <w:pStyle w:val="Compact"/>
            </w:pPr>
            <w:r>
              <w:t xml:space="preserve">Threshold derived from measured distributions, documented, held constant across runs, and always reported alongside retrieval precision so that a memory retrieved and disregarded is distinguishable from one never retrieved</w:t>
            </w:r>
          </w:p>
        </w:tc>
        <w:tc>
          <w:tcPr/>
          <w:p>
            <w:pPr>
              <w:pStyle w:val="Compact"/>
            </w:pPr>
            <w:r>
              <w:t xml:space="preserve">The metric moving materially under small threshold perturbation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Available effort falls to the lower bound and the plan exceeds budget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Scope reduction order pre-committed. Decision point at week 6, not week 12</w:t>
            </w:r>
          </w:p>
        </w:tc>
        <w:tc>
          <w:tcPr/>
          <w:p>
            <w:pPr>
              <w:pStyle w:val="Compact"/>
            </w:pPr>
            <w:r>
              <w:t xml:space="preserve">Cumulative hours tracking below plan at week 6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Provisional values are replaced with optimistic figures under presentation pressure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Claim discipline recorded in NOVA-SDP-001 Â§7.6 and reviewed at the start of the final milestone rather than at its end. A placeholder that cannot be filled becomes a removed claim</w:t>
            </w:r>
          </w:p>
        </w:tc>
        <w:tc>
          <w:tcPr/>
          <w:p>
            <w:pPr>
              <w:pStyle w:val="Compact"/>
            </w:pPr>
            <w:r>
              <w:t xml:space="preserve">Any figure appearing without a stated method, sample size, and reference configuration</w:t>
            </w:r>
          </w:p>
        </w:tc>
        <w:tc>
          <w:tcPr/>
          <w:p>
            <w:pPr>
              <w:pStyle w:val="Compact"/>
            </w:pPr>
            <w:r>
              <w:t xml:space="preserve">M7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Output quality on a local model does not reach the acceptance rate target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Target revised openly. Targets are provisional and revision is expected, but is recorded rather than applied silently</w:t>
            </w:r>
          </w:p>
        </w:tc>
        <w:tc>
          <w:tcPr/>
          <w:p>
            <w:pPr>
              <w:pStyle w:val="Compact"/>
            </w:pPr>
            <w:r>
              <w:t xml:space="preserve">Measured acceptance rate materially below target across authentic usage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Persistent injection defences are unproven. The threat is sufficiently novel that the adversarial suite constitutes the only evidence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</w:p>
        </w:tc>
        <w:tc>
          <w:tcPr/>
          <w:p>
            <w:pPr>
              <w:pStyle w:val="Compact"/>
            </w:pPr>
            <w:r>
              <w:t xml:space="preserve">The suite establishes a floor, not a guarantee, and is described as such. The absence of a tool surface carries the substantive protection</w:t>
            </w:r>
          </w:p>
        </w:tc>
        <w:tc>
          <w:tcPr/>
          <w:p>
            <w:pPr>
              <w:pStyle w:val="Compact"/>
            </w:pPr>
            <w:r>
              <w:t xml:space="preserve">Any adversarial scenario reaching stored memory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</w:t>
            </w:r>
          </w:p>
        </w:tc>
        <w:tc>
          <w:tcPr/>
          <w:p>
            <w:pPr>
              <w:pStyle w:val="Compact"/>
            </w:pPr>
            <w:r>
              <w:t xml:space="preserve">Deterministic checks do not capture sufficient quality signal to gate on. Both acceptance criteria coverage and required case type presence rely on the model's own labelling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</w:p>
        </w:tc>
        <w:tc>
          <w:tcPr/>
          <w:p>
            <w:pPr>
              <w:pStyle w:val="Compact"/>
            </w:pPr>
            <w:r>
              <w:t xml:space="preserve">A sample of plans is manually audited and the agreement rate reported. Where the checks prove weak, the share of model-based review increases and the caveat is documented</w:t>
            </w:r>
          </w:p>
        </w:tc>
        <w:tc>
          <w:tcPr/>
          <w:p>
            <w:pPr>
              <w:pStyle w:val="Compact"/>
            </w:pPr>
            <w:r>
              <w:t xml:space="preserve">Manual audit disagreeing materially with automated verdicts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R-13</w:t>
            </w:r>
          </w:p>
        </w:tc>
        <w:tc>
          <w:tcPr/>
          <w:p>
            <w:pPr>
              <w:pStyle w:val="Compact"/>
            </w:pPr>
            <w:r>
              <w:t xml:space="preserve">The model review stage does not justify its latency cost, having added a second inference call to every 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</w:p>
        </w:tc>
        <w:tc>
          <w:tcPr/>
          <w:p>
            <w:pPr>
              <w:pStyle w:val="Compact"/>
            </w:pPr>
            <w:r>
              <w:t xml:space="preserve">Designed to be removable. Measured before and after against the dataset, and removed where it does not demonstrably help</w:t>
            </w:r>
          </w:p>
        </w:tc>
        <w:tc>
          <w:tcPr/>
          <w:p>
            <w:pPr>
              <w:pStyle w:val="Compact"/>
            </w:pPr>
            <w:r>
              <w:t xml:space="preserve">No measurable quality difference with the stage disabled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R-14</w:t>
            </w:r>
          </w:p>
        </w:tc>
        <w:tc>
          <w:tcPr/>
          <w:p>
            <w:pPr>
              <w:pStyle w:val="Compact"/>
            </w:pPr>
            <w:r>
              <w:t xml:space="preserve">Exploratory selections present as unexplained degradation to a user unaware that exploration occurred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</w:p>
        </w:tc>
        <w:tc>
          <w:tcPr/>
          <w:p>
            <w:pPr>
              <w:pStyle w:val="Compact"/>
            </w:pPr>
            <w:r>
              <w:t xml:space="preserve">Exploration labelled explicitly in the interface</w:t>
            </w:r>
          </w:p>
        </w:tc>
        <w:tc>
          <w:tcPr/>
          <w:p>
            <w:pPr>
              <w:pStyle w:val="Compact"/>
            </w:pPr>
            <w:r>
              <w:t xml:space="preserve">User report of inconsistent quality without apparent cause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R-15</w:t>
            </w:r>
          </w:p>
        </w:tc>
        <w:tc>
          <w:tcPr/>
          <w:p>
            <w:pPr>
              <w:pStyle w:val="Compact"/>
            </w:pPr>
            <w:r>
              <w:t xml:space="preserve">Entity count is high relative to the effort budget. Several entities are thin, but each still requires a migration, a data access implementation, and tests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Estimated explicitly rather than assumed cost-free</w:t>
            </w:r>
          </w:p>
        </w:tc>
        <w:tc>
          <w:tcPr/>
          <w:p>
            <w:pPr>
              <w:pStyle w:val="Compact"/>
            </w:pPr>
            <w:r>
              <w:t xml:space="preserve">Persistence work exceeding estimate by a material margin</w:t>
            </w:r>
          </w:p>
        </w:tc>
        <w:tc>
          <w:tcPr/>
          <w:p>
            <w:pPr>
              <w:pStyle w:val="Compact"/>
            </w:pPr>
            <w:r>
              <w:t xml:space="preserve">M2,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R-16</w:t>
            </w:r>
          </w:p>
        </w:tc>
        <w:tc>
          <w:tcPr/>
          <w:p>
            <w:pPr>
              <w:pStyle w:val="Compact"/>
            </w:pPr>
            <w:r>
              <w:t xml:space="preserve">Introducing any tool capability invalidates the threat model. The absence of a tool surface is load-bearing for the entire security position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Recorded so the consequence is not overlooked. Such a change requires rewriting NOVA-TM-001, not amending it</w:t>
            </w:r>
          </w:p>
        </w:tc>
        <w:tc>
          <w:tcPr/>
          <w:p>
            <w:pPr>
              <w:pStyle w:val="Compact"/>
            </w:pPr>
            <w:r>
              <w:t xml:space="preserve">Any proposal introducing file, command, or network capability for the model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R-17</w:t>
            </w:r>
          </w:p>
        </w:tc>
        <w:tc>
          <w:tcPr/>
          <w:p>
            <w:pPr>
              <w:pStyle w:val="Compact"/>
            </w:pPr>
            <w:r>
              <w:t xml:space="preserve">No independent code review. Every design and security decision has a single reviewer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Automated gates substitute where they can. The limitation is stated in the document set rather than concealed</w:t>
            </w:r>
          </w:p>
        </w:tc>
        <w:tc>
          <w:tcPr/>
          <w:p>
            <w:pPr>
              <w:pStyle w:val="Compact"/>
            </w:pPr>
            <w:r>
              <w:t xml:space="preserve">Not applicable. A standing condition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R-18</w:t>
            </w:r>
          </w:p>
        </w:tc>
        <w:tc>
          <w:tcPr/>
          <w:p>
            <w:pPr>
              <w:pStyle w:val="Compact"/>
            </w:pPr>
            <w:r>
              <w:t xml:space="preserve">Endpoint protection software on the development workstation holds GPU memory, reducing available VRAM below nominal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Recorded so that measurements taken on this host remain interpretable elsewhere</w:t>
            </w:r>
          </w:p>
        </w:tc>
        <w:tc>
          <w:tcPr/>
          <w:p>
            <w:pPr>
              <w:pStyle w:val="Compact"/>
            </w:pPr>
            <w:r>
              <w:t xml:space="preserve">Not applicable. A standing condition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</w:tr>
    </w:tbl>
    <w:bookmarkEnd w:id="10"/>
    <w:bookmarkStart w:id="13" w:name="Xcb4fd5499264102ccc1b236378e91c2c94a2823"/>
    <w:p>
      <w:pPr>
        <w:pStyle w:val="Heading2"/>
      </w:pPr>
      <w:r>
        <w:t xml:space="preserve">3. Closed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R-C1</w:t>
            </w:r>
          </w:p>
        </w:tc>
        <w:tc>
          <w:tcPr/>
          <w:p>
            <w:pPr>
              <w:pStyle w:val="Compact"/>
            </w:pPr>
            <w:r>
              <w:t xml:space="preserve">Available hardware cannot sustain a local model at acceptable latency and schema fidelity. This was the risk capable of invalidating the primary workflow 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by measurement, 2026-09-07.</w:t>
            </w:r>
            <w:r>
              <w:t xml:space="preserve"> </w:t>
            </w:r>
            <w:r>
              <w:t xml:space="preserve">4B-parameter class: 12 of 12 schema-conformant on first attempt, 2.9 to 3.9 GB resident, fully GPU-offloaded, 9 to 26 s warm generation. Substantially inside the provisional latency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R-C2</w:t>
            </w:r>
          </w:p>
        </w:tc>
        <w:tc>
          <w:tcPr/>
          <w:p>
            <w:pPr>
              <w:pStyle w:val="Compact"/>
            </w:pPr>
            <w:r>
              <w:t xml:space="preserve">The recorded hardware assumption of 8 GB or greater VRAM was incorrect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Closed, 2026-09-07.</w:t>
            </w:r>
            <w:r>
              <w:t xml:space="preserve"> </w:t>
            </w:r>
            <w:r>
              <w:t xml:space="preserve">The device provides 6 GB. Identified before any implementation, at a cost of one afternoon rather than a rewrite in the ninth week. The candidate model list was revised and the constraint corrected throughout the document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The embedding model and vector dimension remained unselected, and the dimension is fixed at schema creation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by measurement, 2026-09-08.</w:t>
            </w:r>
            <w:r>
              <w:t xml:space="preserve"> </w:t>
            </w:r>
            <w:r>
              <w:rPr>
                <w:rStyle w:val="VerbatimChar"/>
              </w:rPr>
              <w:t xml:space="preserve">embeddinggemma</w:t>
            </w:r>
            <w:r>
              <w:t xml:space="preserve"> </w:t>
            </w:r>
            <w:r>
              <w:t xml:space="preserve">at 768 dimensions, selected in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ADR-0005</w:t>
              </w:r>
            </w:hyperlink>
            <w:r>
              <w:t xml:space="preserve"> </w:t>
            </w:r>
            <w:r>
              <w:t xml:space="preserve">on the evidence in NOVA-SPK-002. Five candidates measured against 71 hand-labelled requirement-to-rule pairs. Schema definition is unblocked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The 8B parameter class might not fit the 6 GB budget, and was unmeasured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by measurement, 2026-09-08.</w:t>
            </w:r>
            <w:r>
              <w:t xml:space="preserve"> </w:t>
            </w:r>
            <w:r>
              <w:t xml:space="preserve">It does not fit. Both candidates load at 6.6 GB and run 36% to 38% on the CPU, at 40 to 44 s median against 17.3 s for</w:t>
            </w:r>
            <w:r>
              <w:t xml:space="preserve"> </w:t>
            </w:r>
            <w:r>
              <w:rPr>
                <w:rStyle w:val="VerbatimChar"/>
              </w:rPr>
              <w:t xml:space="preserve">gemma3:4b</w:t>
            </w:r>
            <w:r>
              <w:t xml:space="preserve">, with no quality gain. The 4B class is confirmed rather than merely assumed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Container-to-host inference reachability was unverified, and was recorded as the most probable early impediment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by measurement, 2026-09-09.</w:t>
            </w:r>
            <w:r>
              <w:t xml:space="preserve"> </w:t>
            </w:r>
            <w:r>
              <w:t xml:space="preserve">The impediment does not occur on Docker Desktop:</w:t>
            </w:r>
            <w:r>
              <w:t xml:space="preserve"> </w:t>
            </w:r>
            <w:r>
              <w:rPr>
                <w:rStyle w:val="VerbatimChar"/>
              </w:rPr>
              <w:t xml:space="preserve">host.docker.internal</w:t>
            </w:r>
            <w:r>
              <w:t xml:space="preserve"> </w:t>
            </w:r>
            <w:r>
              <w:t xml:space="preserve">resolves to its host proxy, which forwards to the host's loopback, so Ollama stays on its default binding and the anticipated</w:t>
            </w:r>
            <w:r>
              <w:t xml:space="preserve"> </w:t>
            </w:r>
            <w:r>
              <w:rPr>
                <w:rStyle w:val="VerbatimChar"/>
              </w:rPr>
              <w:t xml:space="preserve">OLLAMA_HOST=0.0.0.0</w:t>
            </w:r>
            <w:r>
              <w:t xml:space="preserve"> </w:t>
            </w:r>
            <w:r>
              <w:t xml:space="preserve">mitigation is unnecessary. A Linux-native engine has no such proxy and still needs it, which is recorded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NOVA-SPK-003</w:t>
              </w:r>
            </w:hyperlink>
            <w:r>
              <w:t xml:space="preserve"> </w:t>
            </w:r>
            <w:r>
              <w:t xml:space="preserve">finding 3 rather than left as a surprise</w:t>
            </w:r>
          </w:p>
        </w:tc>
      </w:tr>
    </w:tbl>
    <w:bookmarkEnd w:id="13"/>
    <w:bookmarkStart w:id="14" w:name="X47d54d4f450990458e8b1d2908a7b67628a24fb"/>
    <w:p>
      <w:pPr>
        <w:pStyle w:val="Heading2"/>
      </w:pPr>
      <w:r>
        <w:t xml:space="preserve">4. Prerequisites</w:t>
      </w:r>
    </w:p>
    <w:p>
      <w:pPr>
        <w:pStyle w:val="FirstParagraph"/>
      </w:pPr>
      <w:r>
        <w:t xml:space="preserve">Two entries are prerequisites rather than ordinary risks. Dependent work does not commence until</w:t>
      </w:r>
      <w:r>
        <w:t xml:space="preserve"> </w:t>
      </w:r>
      <w:r>
        <w:t xml:space="preserve">they are resolved, because proceeding while wrong incurs rework rather than delay. They are retained</w:t>
      </w:r>
      <w:r>
        <w:t xml:space="preserve"> </w:t>
      </w:r>
      <w:r>
        <w:t xml:space="preserve">here once resolved so that the sequencing remains legible.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Embedding model and vector dimension selected</w:t>
            </w:r>
          </w:p>
        </w:tc>
        <w:tc>
          <w:tcPr/>
          <w:p>
            <w:pPr>
              <w:pStyle w:val="Compact"/>
            </w:pPr>
            <w:r>
              <w:t xml:space="preserve">Schema definition, and therefore all persistence work</w:t>
            </w:r>
          </w:p>
        </w:tc>
        <w:tc>
          <w:tcPr/>
          <w:p>
            <w:pPr>
              <w:pStyle w:val="Compact"/>
            </w:pPr>
            <w:r>
              <w:t xml:space="preserve">Resolved 2026-09-08. Closed as R-C3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Extraction precision measured</w:t>
            </w:r>
          </w:p>
        </w:tc>
        <w:tc>
          <w:tcPr/>
          <w:p>
            <w:pPr>
              <w:pStyle w:val="Compact"/>
            </w:pPr>
            <w:r>
              <w:t xml:space="preserve">Memory management interface and applied-lessons presentation</w:t>
            </w:r>
          </w:p>
        </w:tc>
        <w:tc>
          <w:tcPr/>
          <w:p>
            <w:pPr>
              <w:pStyle w:val="Compact"/>
            </w:pPr>
            <w:r>
              <w:t xml:space="preserve">Outstanding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R-04 closed by measurement as R-C3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R-08 closed by measurement as R-C4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R-09 closed by measurement on the evidence in NOVA-SPK-003</w:t>
            </w:r>
          </w:p>
        </w:tc>
      </w:tr>
    </w:tbl>
    <w:bookmarkEnd w:id="15"/>
    <w:bookmarkEnd w:id="16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dr/0005-select-an-embedding-model-and-vector-dimension.md" TargetMode="External" /><Relationship Type="http://schemas.openxmlformats.org/officeDocument/2006/relationships/hyperlink" Id="rId12" Target="spikes/2026-09-09-container-to-host-reachabil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dr/0005-select-an-embedding-model-and-vector-dimension.md" TargetMode="External" /><Relationship Type="http://schemas.openxmlformats.org/officeDocument/2006/relationships/hyperlink" Id="rId12" Target="spikes/2026-09-09-container-to-host-reachabil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2026-09-10T03:38:16Z</dcterms:created>
  <dcterms:modified xsi:type="dcterms:W3CDTF">2026-09-10T03:38:16Z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