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architecture-decision-records"/>
    <w:p>
      <w:pPr>
        <w:pStyle w:val="Heading1"/>
      </w:pPr>
      <w:r>
        <w:t xml:space="preserve">Architecture Decision Records</w:t>
      </w:r>
    </w:p>
    <w:p>
      <w:pPr>
        <w:pStyle w:val="FirstParagraph"/>
      </w:pPr>
      <w:r>
        <w:t xml:space="preserve">Records of architecturally significant decisions, in</w:t>
      </w:r>
      <w:r>
        <w:t xml:space="preserve"> </w:t>
      </w:r>
      <w:hyperlink r:id="rId9">
        <w:r>
          <w:rPr>
            <w:rStyle w:val="Hyperlink"/>
          </w:rPr>
          <w:t xml:space="preserve">MADR 4.0</w:t>
        </w:r>
      </w:hyperlink>
      <w:r>
        <w:t xml:space="preserve"> </w:t>
      </w:r>
      <w:r>
        <w:t xml:space="preserve">format.</w:t>
      </w:r>
    </w:p>
    <w:p>
      <w:pPr>
        <w:pStyle w:val="BodyText"/>
      </w:pPr>
      <w:r>
        <w:t xml:space="preserve">A decision is recorded here when it is expensive to reverse, likely to be challenged, or when its</w:t>
      </w:r>
      <w:r>
        <w:t xml:space="preserve"> </w:t>
      </w:r>
      <w:r>
        <w:t xml:space="preserve">rationale must survive later pressure to undo it. Decisions not meeting that bar are recorded in</w:t>
      </w:r>
      <w:r>
        <w:t xml:space="preserve"> </w:t>
      </w:r>
      <w:hyperlink r:id="rId10">
        <w:r>
          <w:rPr>
            <w:rStyle w:val="Hyperlink"/>
          </w:rPr>
          <w:t xml:space="preserve">NOVA-DL-001</w:t>
        </w:r>
      </w:hyperlink>
      <w:r>
        <w:t xml:space="preserve">, which is the complete index.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0001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PostgreSQL with pgvector as the sole datastore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0002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Job table and polling worker rather than a message broker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0003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 agent framework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0004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Mandatory human confirmation for memory writes</w:t>
            </w:r>
          </w:p>
        </w:tc>
        <w:tc>
          <w:tcPr/>
          <w:p>
            <w:pPr>
              <w:pStyle w:val="Compact"/>
            </w:pPr>
            <w:r>
              <w:t xml:space="preserve">Accepted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0005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Embedding model and vector dimension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  <w:tc>
          <w:tcPr/>
          <w:p>
            <w:pPr>
              <w:pStyle w:val="Compact"/>
            </w:pPr>
            <w:r>
              <w:t xml:space="preserve">2026-09-07</w:t>
            </w:r>
          </w:p>
        </w:tc>
      </w:tr>
    </w:tbl>
    <w:bookmarkStart w:id="16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01"/>
        </w:numPr>
      </w:pPr>
      <w:r>
        <w:t xml:space="preserve">Numbered sequentially from</w:t>
      </w:r>
      <w:r>
        <w:t xml:space="preserve"> </w:t>
      </w:r>
      <w:r>
        <w:rPr>
          <w:rStyle w:val="VerbatimChar"/>
        </w:rPr>
        <w:t xml:space="preserve">0001</w:t>
      </w:r>
      <w:r>
        <w:t xml:space="preserve">. Numbers are never reused</w:t>
      </w:r>
    </w:p>
    <w:p>
      <w:pPr>
        <w:pStyle w:val="Compact"/>
        <w:numPr>
          <w:ilvl w:val="0"/>
          <w:numId w:val="1001"/>
        </w:numPr>
      </w:pPr>
      <w:r>
        <w:t xml:space="preserve">Filename is the number followed by a kebab-case title</w:t>
      </w:r>
    </w:p>
    <w:p>
      <w:pPr>
        <w:pStyle w:val="Compact"/>
        <w:numPr>
          <w:ilvl w:val="0"/>
          <w:numId w:val="1001"/>
        </w:numPr>
      </w:pPr>
      <w:r>
        <w:t xml:space="preserve">Status is one of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superseded by ADR-NNNN</w:t>
      </w:r>
    </w:p>
    <w:p>
      <w:pPr>
        <w:pStyle w:val="Compact"/>
        <w:numPr>
          <w:ilvl w:val="0"/>
          <w:numId w:val="1001"/>
        </w:numPr>
      </w:pPr>
      <w:r>
        <w:t xml:space="preserve">A superseded record is never deleted. Its status is amended and the superseding record links back</w:t>
      </w:r>
    </w:p>
    <w:p>
      <w:pPr>
        <w:pStyle w:val="Compact"/>
        <w:numPr>
          <w:ilvl w:val="0"/>
          <w:numId w:val="1001"/>
        </w:numPr>
      </w:pPr>
      <w:r>
        <w:t xml:space="preserve">Written at the point of decision, not retrospectively. Retrospective records read as reconstruction</w:t>
      </w:r>
      <w:r>
        <w:t xml:space="preserve"> </w:t>
      </w:r>
      <w:r>
        <w:t xml:space="preserve">and an experienced reviewer will recognize them</w:t>
      </w:r>
    </w:p>
    <w:bookmarkEnd w:id="16"/>
    <w:bookmarkStart w:id="17" w:name="template"/>
    <w:p>
      <w:pPr>
        <w:pStyle w:val="Heading2"/>
      </w:pPr>
      <w:r>
        <w:t xml:space="preserve">Template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status:</w:t>
      </w:r>
      <w:r>
        <w:rPr>
          <w:rStyle w:val="CommentTok"/>
        </w:rPr>
        <w:t xml:space="preserve"> proposed</w:t>
      </w:r>
      <w:r>
        <w:br/>
      </w:r>
      <w:r>
        <w:rPr>
          <w:rStyle w:val="AnnotationTok"/>
        </w:rPr>
        <w:t xml:space="preserve">date:</w:t>
      </w:r>
      <w:r>
        <w:rPr>
          <w:rStyle w:val="CommentTok"/>
        </w:rPr>
        <w:t xml:space="preserve"> YYYY-MM-DD</w:t>
      </w:r>
      <w:r>
        <w:br/>
      </w:r>
      <w:r>
        <w:rPr>
          <w:rStyle w:val="AnnotationTok"/>
        </w:rPr>
        <w:t xml:space="preserve">decision-makers:</w:t>
      </w:r>
      <w:r>
        <w:rPr>
          <w:rStyle w:val="CommentTok"/>
        </w:rPr>
        <w:t xml:space="preserve"> names</w:t>
      </w:r>
      <w:r>
        <w:br/>
      </w:r>
      <w:r>
        <w:rPr>
          <w:rStyle w:val="AnnotationTok"/>
        </w:rPr>
        <w:t xml:space="preserve">consulted:</w:t>
      </w:r>
      <w:r>
        <w:rPr>
          <w:rStyle w:val="CommentTok"/>
        </w:rPr>
        <w:t xml:space="preserve"> names</w:t>
      </w:r>
      <w:r>
        <w:br/>
      </w:r>
      <w:r>
        <w:rPr>
          <w:rStyle w:val="AnnotationTok"/>
        </w:rPr>
        <w:t xml:space="preserve">informed:</w:t>
      </w:r>
      <w:r>
        <w:rPr>
          <w:rStyle w:val="CommentTok"/>
        </w:rPr>
        <w:t xml:space="preserve"> names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Short title stating the problem and the resolution</w:t>
      </w:r>
      <w:r>
        <w:br/>
      </w:r>
      <w:r>
        <w:br/>
      </w:r>
      <w:r>
        <w:rPr>
          <w:rStyle w:val="FunctionTok"/>
        </w:rPr>
        <w:t xml:space="preserve">## Context and problem statement</w:t>
      </w:r>
      <w:r>
        <w:br/>
      </w:r>
      <w:r>
        <w:br/>
      </w:r>
      <w:r>
        <w:rPr>
          <w:rStyle w:val="FunctionTok"/>
        </w:rPr>
        <w:t xml:space="preserve">## Decision drivers</w:t>
      </w:r>
      <w:r>
        <w:br/>
      </w:r>
      <w:r>
        <w:br/>
      </w:r>
      <w:r>
        <w:rPr>
          <w:rStyle w:val="FunctionTok"/>
        </w:rPr>
        <w:t xml:space="preserve">## Considered options</w:t>
      </w:r>
      <w:r>
        <w:br/>
      </w:r>
      <w:r>
        <w:br/>
      </w:r>
      <w:r>
        <w:rPr>
          <w:rStyle w:val="FunctionTok"/>
        </w:rPr>
        <w:t xml:space="preserve">## Decision outcome</w:t>
      </w:r>
      <w:r>
        <w:br/>
      </w:r>
      <w:r>
        <w:br/>
      </w:r>
      <w:r>
        <w:rPr>
          <w:rStyle w:val="NormalTok"/>
        </w:rPr>
        <w:t xml:space="preserve">Chosen option: "...", because ...</w:t>
      </w:r>
      <w:r>
        <w:br/>
      </w:r>
      <w:r>
        <w:br/>
      </w:r>
      <w:r>
        <w:rPr>
          <w:rStyle w:val="FunctionTok"/>
        </w:rPr>
        <w:t xml:space="preserve">### Consequences</w:t>
      </w:r>
      <w:r>
        <w:br/>
      </w:r>
      <w:r>
        <w:br/>
      </w:r>
      <w:r>
        <w:rPr>
          <w:rStyle w:val="FunctionTok"/>
        </w:rPr>
        <w:t xml:space="preserve">### Confirmation</w:t>
      </w:r>
      <w:r>
        <w:br/>
      </w:r>
      <w:r>
        <w:br/>
      </w:r>
      <w:r>
        <w:rPr>
          <w:rStyle w:val="FunctionTok"/>
        </w:rPr>
        <w:t xml:space="preserve">## Pros and cons of the options</w:t>
      </w:r>
      <w:r>
        <w:br/>
      </w:r>
      <w:r>
        <w:br/>
      </w:r>
      <w:r>
        <w:rPr>
          <w:rStyle w:val="FunctionTok"/>
        </w:rPr>
        <w:t xml:space="preserve">## More information</w:t>
      </w:r>
    </w:p>
    <w:bookmarkEnd w:id="17"/>
    <w:bookmarkEnd w:id="18"/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decision-log.md" TargetMode="External" /><Relationship Type="http://schemas.openxmlformats.org/officeDocument/2006/relationships/hyperlink" Id="rId11" Target="0001-postgres-pgvector-as-sole-datastore.md" TargetMode="External" /><Relationship Type="http://schemas.openxmlformats.org/officeDocument/2006/relationships/hyperlink" Id="rId12" Target="0002-postgres-job-table-for-async-execution.md" TargetMode="External" /><Relationship Type="http://schemas.openxmlformats.org/officeDocument/2006/relationships/hyperlink" Id="rId13" Target="0003-no-agent-framework.md" TargetMode="External" /><Relationship Type="http://schemas.openxmlformats.org/officeDocument/2006/relationships/hyperlink" Id="rId14" Target="0004-human-confirmation-for-memory-writes.md" TargetMode="External" /><Relationship Type="http://schemas.openxmlformats.org/officeDocument/2006/relationships/hyperlink" Id="rId15" Target="0005-embedding-model-and-vector-dimension.md" TargetMode="External" /><Relationship Type="http://schemas.openxmlformats.org/officeDocument/2006/relationships/hyperlink" Id="rId9" Target="https://adr.github.io/mad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decision-log.md" TargetMode="External" /><Relationship Type="http://schemas.openxmlformats.org/officeDocument/2006/relationships/hyperlink" Id="rId11" Target="0001-postgres-pgvector-as-sole-datastore.md" TargetMode="External" /><Relationship Type="http://schemas.openxmlformats.org/officeDocument/2006/relationships/hyperlink" Id="rId12" Target="0002-postgres-job-table-for-async-execution.md" TargetMode="External" /><Relationship Type="http://schemas.openxmlformats.org/officeDocument/2006/relationships/hyperlink" Id="rId13" Target="0003-no-agent-framework.md" TargetMode="External" /><Relationship Type="http://schemas.openxmlformats.org/officeDocument/2006/relationships/hyperlink" Id="rId14" Target="0004-human-confirmation-for-memory-writes.md" TargetMode="External" /><Relationship Type="http://schemas.openxmlformats.org/officeDocument/2006/relationships/hyperlink" Id="rId15" Target="0005-embedding-model-and-vector-dimension.md" TargetMode="External" /><Relationship Type="http://schemas.openxmlformats.org/officeDocument/2006/relationships/hyperlink" Id="rId9" Target="https://adr.github.io/mad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2026-09-08T04:40:02Z</dcterms:created>
  <dcterms:modified xsi:type="dcterms:W3CDTF">2026-09-08T04:40:02Z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