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decision-log"/>
    <w:p>
      <w:pPr>
        <w:pStyle w:val="Heading1"/>
      </w:pPr>
      <w:r>
        <w:t xml:space="preserve">Decision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NOVA-DL-001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log records project and technical decisions that do not warrant a full Architecture Decision</w:t>
      </w:r>
      <w:r>
        <w:t xml:space="preserve"> </w:t>
      </w:r>
      <w:r>
        <w:t xml:space="preserve">Record. Architecturally significant decisions are recorded as ADRs in</w:t>
      </w:r>
      <w:r>
        <w:t xml:space="preserve"> </w:t>
      </w:r>
      <w:hyperlink r:id="rId9">
        <w:r>
          <w:rPr>
            <w:rStyle w:val="VerbatimChar"/>
          </w:rPr>
          <w:t xml:space="preserve">adr/</w:t>
        </w:r>
      </w:hyperlink>
      <w:r>
        <w:t xml:space="preserve"> </w:t>
      </w:r>
      <w:r>
        <w:t xml:space="preserve">using MADR 4.0</w:t>
      </w:r>
      <w:r>
        <w:t xml:space="preserve"> </w:t>
      </w:r>
      <w:r>
        <w:t xml:space="preserve">and are indexed in section 6 below.</w:t>
      </w:r>
    </w:p>
    <w:p>
      <w:pPr>
        <w:pStyle w:val="BodyText"/>
      </w:pPr>
      <w:r>
        <w:t xml:space="preserve">A decision log that is not maintained is worse than none, because it misrepresents the current state</w:t>
      </w:r>
      <w:r>
        <w:t xml:space="preserve"> </w:t>
      </w:r>
      <w:r>
        <w:t xml:space="preserve">of the project.</w:t>
      </w:r>
    </w:p>
    <w:bookmarkEnd w:id="10"/>
    <w:bookmarkStart w:id="11" w:name="X5bb2787ea6302392157fd4db76ee656a5048e5c"/>
    <w:p>
      <w:pPr>
        <w:pStyle w:val="Heading2"/>
      </w:pPr>
      <w:r>
        <w:t xml:space="preserve">2.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Decided. Change requires a superseding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Provisional</w:t>
            </w:r>
          </w:p>
        </w:tc>
        <w:tc>
          <w:tcPr/>
          <w:p>
            <w:pPr>
              <w:pStyle w:val="Compact"/>
            </w:pPr>
            <w:r>
              <w:t xml:space="preserve">Decided on limited evidence. Confirmation 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Awaiting measurement, with a stated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Replaced. Retained for history</w:t>
            </w:r>
          </w:p>
        </w:tc>
      </w:tr>
    </w:tbl>
    <w:bookmarkEnd w:id="11"/>
    <w:bookmarkStart w:id="12" w:name="Xcd1da748aebf93ced737700b273bfef627bc416"/>
    <w:p>
      <w:pPr>
        <w:pStyle w:val="Heading2"/>
      </w:pPr>
      <w:r>
        <w:t xml:space="preserve">3. Product and scope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Rejected alternatives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Accepted cost</w:t>
            </w:r>
          </w:p>
        </w:tc>
        <w:tc>
          <w:tcPr/>
          <w:p>
            <w:pPr>
              <w:pStyle w:val="Compact"/>
            </w:pPr>
            <w:r>
              <w:t xml:space="preserve">Revisit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DL-001</w:t>
            </w:r>
          </w:p>
        </w:tc>
        <w:tc>
          <w:tcPr/>
          <w:p>
            <w:pPr>
              <w:pStyle w:val="Compact"/>
            </w:pPr>
            <w:r>
              <w:t xml:space="preserve">Primary workflow is requirement to structured test plan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Defect report structuring; diagnostic plan generation</w:t>
            </w:r>
          </w:p>
        </w:tc>
        <w:tc>
          <w:tcPr/>
          <w:p>
            <w:pPr>
              <w:pStyle w:val="Compact"/>
            </w:pPr>
            <w:r>
              <w:t xml:space="preserve">The only candidate whose output is objectively gradeable, which the central claim requires. Feasible within the inference constraint. Dense feedback signal from ordinary use</w:t>
            </w:r>
          </w:p>
        </w:tc>
        <w:tc>
          <w:tcPr/>
          <w:p>
            <w:pPr>
              <w:pStyle w:val="Compact"/>
            </w:pPr>
            <w:r>
              <w:t xml:space="preserve">The problem space is crowded, so differentiation must come from the feedback loop rather than the generation</w:t>
            </w:r>
          </w:p>
        </w:tc>
        <w:tc>
          <w:tcPr/>
          <w:p>
            <w:pPr>
              <w:pStyle w:val="Compact"/>
            </w:pPr>
            <w:r>
              <w:t xml:space="preserve">The model spike demonstrating that schema conformance is unattainable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DL-002</w:t>
            </w:r>
          </w:p>
        </w:tc>
        <w:tc>
          <w:tcPr/>
          <w:p>
            <w:pPr>
              <w:pStyle w:val="Compact"/>
            </w:pPr>
            <w:r>
              <w:t xml:space="preserve">Local-first inference with a pluggable hosted provider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Local only; hosted primary</w:t>
            </w:r>
          </w:p>
        </w:tc>
        <w:tc>
          <w:tcPr/>
          <w:p>
            <w:pPr>
              <w:pStyle w:val="Compact"/>
            </w:pPr>
            <w:r>
              <w:t xml:space="preserve">Confidentiality position, zero marginal cost, and a materially harder engineering problem. The abstraction preserves a demonstration fallback</w:t>
            </w:r>
          </w:p>
        </w:tc>
        <w:tc>
          <w:tcPr/>
          <w:p>
            <w:pPr>
              <w:pStyle w:val="Compact"/>
            </w:pPr>
            <w:r>
              <w:t xml:space="preserve">A lower output quality ceiling</w:t>
            </w:r>
          </w:p>
        </w:tc>
        <w:tc>
          <w:tcPr/>
          <w:p>
            <w:pPr>
              <w:pStyle w:val="Compact"/>
            </w:pPr>
            <w:r>
              <w:t xml:space="preserve">Hardware proving inadequate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DL-003</w:t>
            </w:r>
          </w:p>
        </w:tc>
        <w:tc>
          <w:tcPr/>
          <w:p>
            <w:pPr>
              <w:pStyle w:val="Compact"/>
            </w:pPr>
            <w:r>
              <w:t xml:space="preserve">Local deployment only, container composition as the artifact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Hosted demonstration instance</w:t>
            </w:r>
          </w:p>
        </w:tc>
        <w:tc>
          <w:tcPr/>
          <w:p>
            <w:pPr>
              <w:pStyle w:val="Compact"/>
            </w:pPr>
            <w:r>
              <w:t xml:space="preserve">A recorded demonstration substitutes at lower cost</w:t>
            </w:r>
          </w:p>
        </w:tc>
        <w:tc>
          <w:tcPr/>
          <w:p>
            <w:pPr>
              <w:pStyle w:val="Compact"/>
            </w:pPr>
            <w:r>
              <w:t xml:space="preserve">No publicly reachable instance</w:t>
            </w:r>
          </w:p>
        </w:tc>
        <w:tc>
          <w:tcPr/>
          <w:p>
            <w:pPr>
              <w:pStyle w:val="Compact"/>
            </w:pPr>
            <w:r>
              <w:t xml:space="preserve">A publicly reachable instance becoming worthwhile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DL-004</w:t>
            </w:r>
          </w:p>
        </w:tc>
        <w:tc>
          <w:tcPr/>
          <w:p>
            <w:pPr>
              <w:pStyle w:val="Compact"/>
            </w:pPr>
            <w:r>
              <w:t xml:space="preserve">Synthetic and open-source data only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Authentic work artifacts; mixed</w:t>
            </w:r>
          </w:p>
        </w:tc>
        <w:tc>
          <w:tcPr/>
          <w:p>
            <w:pPr>
              <w:pStyle w:val="Compact"/>
            </w:pPr>
            <w:r>
              <w:t xml:space="preserve">The repository becomes publishable, and privacy controls become designed and tested rather than compliance-bound</w:t>
            </w:r>
          </w:p>
        </w:tc>
        <w:tc>
          <w:tcPr/>
          <w:p>
            <w:pPr>
              <w:pStyle w:val="Compact"/>
            </w:pPr>
            <w:r>
              <w:t xml:space="preserve">Less realistic inputs</w:t>
            </w:r>
          </w:p>
        </w:tc>
        <w:tc>
          <w:tcPr/>
          <w:p>
            <w:pPr>
              <w:pStyle w:val="Compact"/>
            </w:pPr>
            <w:r>
              <w:t xml:space="preserve">Authentic data entering the system, at which point PII detection becomes a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DL-005</w:t>
            </w:r>
          </w:p>
        </w:tc>
        <w:tc>
          <w:tcPr/>
          <w:p>
            <w:pPr>
              <w:pStyle w:val="Compact"/>
            </w:pPr>
            <w:r>
              <w:t xml:space="preserve">Single user with a multi-tenant-capable schema, authentication deferred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Full authentication; no tenancy model</w:t>
            </w:r>
          </w:p>
        </w:tc>
        <w:tc>
          <w:tcPr/>
          <w:p>
            <w:pPr>
              <w:pStyle w:val="Compact"/>
            </w:pPr>
            <w:r>
              <w:t xml:space="preserve">Maximum isolation-testing value per hour invested. Authentication changes the resolution point, not the data model</w:t>
            </w:r>
          </w:p>
        </w:tc>
        <w:tc>
          <w:tcPr/>
          <w:p>
            <w:pPr>
              <w:pStyle w:val="Compact"/>
            </w:pPr>
            <w:r>
              <w:t xml:space="preserve">No authentication capability to demonstrate</w:t>
            </w:r>
          </w:p>
        </w:tc>
        <w:tc>
          <w:tcPr/>
          <w:p>
            <w:pPr>
              <w:pStyle w:val="Compact"/>
            </w:pPr>
            <w:r>
              <w:t xml:space="preserve">Post-release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DL-006</w:t>
            </w:r>
          </w:p>
        </w:tc>
        <w:tc>
          <w:tcPr/>
          <w:p>
            <w:pPr>
              <w:pStyle w:val="Compact"/>
            </w:pPr>
            <w:r>
              <w:t xml:space="preserve">Model fine-tuning deferred rather than excluded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Permanent exclusion; inclusion in the initial release</w:t>
            </w:r>
          </w:p>
        </w:tc>
        <w:tc>
          <w:tcPr/>
          <w:p>
            <w:pPr>
              <w:pStyle w:val="Compact"/>
            </w:pPr>
            <w:r>
              <w:t xml:space="preserve">The initial release produces the labelled dataset and the baseline that a fine-tune requires. Training first would be unmeasurable</w:t>
            </w:r>
          </w:p>
        </w:tc>
        <w:tc>
          <w:tcPr/>
          <w:p>
            <w:pPr>
              <w:pStyle w:val="Compact"/>
            </w:pPr>
            <w:r>
              <w:t xml:space="preserve">Requires present-tense discipline in all material until a trained model exists</w:t>
            </w:r>
          </w:p>
        </w:tc>
        <w:tc>
          <w:tcPr/>
          <w:p>
            <w:pPr>
              <w:pStyle w:val="Compact"/>
            </w:pPr>
            <w:r>
              <w:t xml:space="preserve">Sufficient dataset volume and a measured baseline both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DL-007</w:t>
            </w:r>
          </w:p>
        </w:tc>
        <w:tc>
          <w:tcPr/>
          <w:p>
            <w:pPr>
              <w:pStyle w:val="Compact"/>
            </w:pPr>
            <w:r>
              <w:t xml:space="preserve">Effort weighted unevenly across capability areas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Even distribution</w:t>
            </w:r>
          </w:p>
        </w:tc>
        <w:tc>
          <w:tcPr/>
          <w:p>
            <w:pPr>
              <w:pStyle w:val="Compact"/>
            </w:pPr>
            <w:r>
              <w:t xml:space="preserve">Even distribution yields uniformly shallow work in every area</w:t>
            </w:r>
          </w:p>
        </w:tc>
        <w:tc>
          <w:tcPr/>
          <w:p>
            <w:pPr>
              <w:pStyle w:val="Compact"/>
            </w:pPr>
            <w:r>
              <w:t xml:space="preserve">The user interface will not be visually distinguished</w:t>
            </w:r>
          </w:p>
        </w:tc>
        <w:tc>
          <w:tcPr/>
          <w:p>
            <w:pPr>
              <w:pStyle w:val="Compact"/>
            </w:pPr>
            <w:r>
              <w:t xml:space="preserve">Narrowing to a single capability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DL-008</w:t>
            </w:r>
          </w:p>
        </w:tc>
        <w:tc>
          <w:tcPr/>
          <w:p>
            <w:pPr>
              <w:pStyle w:val="Compact"/>
            </w:pPr>
            <w:r>
              <w:t xml:space="preserve">Four playbooks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Two; three</w:t>
            </w:r>
          </w:p>
        </w:tc>
        <w:tc>
          <w:tcPr/>
          <w:p>
            <w:pPr>
              <w:pStyle w:val="Compact"/>
            </w:pPr>
            <w:r>
              <w:t xml:space="preserve">Sufficient spread for selection to visibly matter, and it stratifies the evaluation dataset naturally</w:t>
            </w:r>
          </w:p>
        </w:tc>
        <w:tc>
          <w:tcPr/>
          <w:p>
            <w:pPr>
              <w:pStyle w:val="Compact"/>
            </w:pPr>
            <w:r>
              <w:t xml:space="preserve">Four prompt fragments and four dataset strata to maintain</w:t>
            </w:r>
          </w:p>
        </w:tc>
        <w:tc>
          <w:tcPr/>
          <w:p>
            <w:pPr>
              <w:pStyle w:val="Compact"/>
            </w:pPr>
            <w:r>
              <w:t xml:space="preserve">Effort pressure triggering the scope reduction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DL-009</w:t>
            </w:r>
          </w:p>
        </w:tc>
        <w:tc>
          <w:tcPr/>
          <w:p>
            <w:pPr>
              <w:pStyle w:val="Compact"/>
            </w:pPr>
            <w:r>
              <w:t xml:space="preserve">Scope reduction order committed in advance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Deciding under pressure</w:t>
            </w:r>
          </w:p>
        </w:tc>
        <w:tc>
          <w:tcPr/>
          <w:p>
            <w:pPr>
              <w:pStyle w:val="Compact"/>
            </w:pPr>
            <w:r>
              <w:t xml:space="preserve">Decisions taken calmly are better than decisions taken in the tenth week</w:t>
            </w:r>
          </w:p>
        </w:tc>
        <w:tc>
          <w:tcPr/>
          <w:p>
            <w:pPr>
              <w:pStyle w:val="Compact"/>
            </w:pPr>
            <w:r>
              <w:t xml:space="preserve">A capability may be removed that is later regretted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2"/>
    <w:bookmarkStart w:id="13" w:name="Xe9072b7de4604023e8eb8c0650ec9463082506a"/>
    <w:p>
      <w:pPr>
        <w:pStyle w:val="Heading2"/>
      </w:pPr>
      <w:r>
        <w:t xml:space="preserve">4. Technical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Rejected alternatives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Accepted cost</w:t>
            </w:r>
          </w:p>
        </w:tc>
        <w:tc>
          <w:tcPr/>
          <w:p>
            <w:pPr>
              <w:pStyle w:val="Compact"/>
            </w:pPr>
            <w:r>
              <w:t xml:space="preserve">Revisit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DL-010</w:t>
            </w:r>
          </w:p>
        </w:tc>
        <w:tc>
          <w:tcPr/>
          <w:p>
            <w:pPr>
              <w:pStyle w:val="Compact"/>
            </w:pPr>
            <w:r>
              <w:t xml:space="preserve">Three-operation inference gateway interface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A general inference abstraction layer</w:t>
            </w:r>
          </w:p>
        </w:tc>
        <w:tc>
          <w:tcPr/>
          <w:p>
            <w:pPr>
              <w:pStyle w:val="Compact"/>
            </w:pPr>
            <w:r>
              <w:t xml:space="preserve">Structured generation, text generation, and embedding cover every requirement. Anything wider is speculative</w:t>
            </w:r>
          </w:p>
        </w:tc>
        <w:tc>
          <w:tcPr/>
          <w:p>
            <w:pPr>
              <w:pStyle w:val="Compact"/>
            </w:pPr>
            <w:r>
              <w:t xml:space="preserve">Provider-specific capabilities are unreachable</w:t>
            </w:r>
          </w:p>
        </w:tc>
        <w:tc>
          <w:tcPr/>
          <w:p>
            <w:pPr>
              <w:pStyle w:val="Compact"/>
            </w:pPr>
            <w:r>
              <w:t xml:space="preserve">A concrete requirement arising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DL-011</w:t>
            </w:r>
          </w:p>
        </w:tc>
        <w:tc>
          <w:tcPr/>
          <w:p>
            <w:pPr>
              <w:pStyle w:val="Compact"/>
            </w:pPr>
            <w:r>
              <w:t xml:space="preserve">Client-rendered single-page application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Server-side rendering framework; server-rendered templates with progressive enhancement</w:t>
            </w:r>
          </w:p>
        </w:tc>
        <w:tc>
          <w:tcPr/>
          <w:p>
            <w:pPr>
              <w:pStyle w:val="Compact"/>
            </w:pPr>
            <w:r>
              <w:t xml:space="preserve">Server-side rendering yields nothing for a local single-user application. Query caching addresses the one non-trivial client concern, which is polling a running task</w:t>
            </w:r>
          </w:p>
        </w:tc>
        <w:tc>
          <w:tcPr/>
          <w:p>
            <w:pPr>
              <w:pStyle w:val="Compact"/>
            </w:pPr>
            <w:r>
              <w:t xml:space="preserve">No server-side rendering</w:t>
            </w:r>
          </w:p>
        </w:tc>
        <w:tc>
          <w:tcPr/>
          <w:p>
            <w:pPr>
              <w:pStyle w:val="Compact"/>
            </w:pPr>
            <w:r>
              <w:t xml:space="preserve">Hosted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DL-012</w:t>
            </w:r>
          </w:p>
        </w:tc>
        <w:tc>
          <w:tcPr/>
          <w:p>
            <w:pPr>
              <w:pStyle w:val="Compact"/>
            </w:pPr>
            <w:r>
              <w:t xml:space="preserve">Outcome scores derived from the event log, never authoritative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Storing scores as the record of truth</w:t>
            </w:r>
          </w:p>
        </w:tc>
        <w:tc>
          <w:tcPr/>
          <w:p>
            <w:pPr>
              <w:pStyle w:val="Compact"/>
            </w:pPr>
            <w:r>
              <w:t xml:space="preserve">Recoverable following poisoning, corruption, or a change to the weighting scheme</w:t>
            </w:r>
          </w:p>
        </w:tc>
        <w:tc>
          <w:tcPr/>
          <w:p>
            <w:pPr>
              <w:pStyle w:val="Compact"/>
            </w:pPr>
            <w:r>
              <w:t xml:space="preserve">Recomputation cost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DL-013</w:t>
            </w:r>
          </w:p>
        </w:tc>
        <w:tc>
          <w:tcPr/>
          <w:p>
            <w:pPr>
              <w:pStyle w:val="Compact"/>
            </w:pPr>
            <w:r>
              <w:t xml:space="preserve">Bounded exploration over a fixed action set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Pure exploitation; upper-confidence-bound or Thompson sampling; static mapping</w:t>
            </w:r>
          </w:p>
        </w:tc>
        <w:tc>
          <w:tcPr/>
          <w:p>
            <w:pPr>
              <w:pStyle w:val="Compact"/>
            </w:pPr>
            <w:r>
              <w:t xml:space="preserve">The simplest mechanism that is real, scoreable, and explainable</w:t>
            </w:r>
          </w:p>
        </w:tc>
        <w:tc>
          <w:tcPr/>
          <w:p>
            <w:pPr>
              <w:pStyle w:val="Compact"/>
            </w:pPr>
            <w:r>
              <w:t xml:space="preserve">A modest mechanism. It is not reinforcement learning and is not described as such</w:t>
            </w:r>
          </w:p>
        </w:tc>
        <w:tc>
          <w:tcPr/>
          <w:p>
            <w:pPr>
              <w:pStyle w:val="Compact"/>
            </w:pPr>
            <w:r>
              <w:t xml:space="preserve">The action set growing materially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DL-014</w:t>
            </w:r>
          </w:p>
        </w:tc>
        <w:tc>
          <w:tcPr/>
          <w:p>
            <w:pPr>
              <w:pStyle w:val="Compact"/>
            </w:pPr>
            <w:r>
              <w:t xml:space="preserve">Content-free logging by default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Logging prompts for diagnostic value</w:t>
            </w:r>
          </w:p>
        </w:tc>
        <w:tc>
          <w:tcPr/>
          <w:p>
            <w:pPr>
              <w:pStyle w:val="Compact"/>
            </w:pPr>
            <w:r>
              <w:t xml:space="preserve">The confidentiality position cannot be undermined through logs</w:t>
            </w:r>
          </w:p>
        </w:tc>
        <w:tc>
          <w:tcPr/>
          <w:p>
            <w:pPr>
              <w:pStyle w:val="Compact"/>
            </w:pPr>
            <w:r>
              <w:t xml:space="preserve">More difficult diagnosis, offset by an explicit debug mode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DL-015</w:t>
            </w:r>
          </w:p>
        </w:tc>
        <w:tc>
          <w:tcPr/>
          <w:p>
            <w:pPr>
              <w:pStyle w:val="Compact"/>
            </w:pPr>
            <w:r>
              <w:t xml:space="preserve">RFC 9457 problem-detail error representation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Ad hoc error shapes</w:t>
            </w:r>
          </w:p>
        </w:tc>
        <w:tc>
          <w:tcPr/>
          <w:p>
            <w:pPr>
              <w:pStyle w:val="Compact"/>
            </w:pPr>
            <w:r>
              <w:t xml:space="preserve">One representation for every failure, and one rendering component</w:t>
            </w:r>
          </w:p>
        </w:tc>
        <w:tc>
          <w:tcPr/>
          <w:p>
            <w:pPr>
              <w:pStyle w:val="Compact"/>
            </w:pPr>
            <w:r>
              <w:t xml:space="preserve">Slightly verbose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DL-016</w:t>
            </w:r>
          </w:p>
        </w:tc>
        <w:tc>
          <w:tcPr/>
          <w:p>
            <w:pPr>
              <w:pStyle w:val="Compact"/>
            </w:pPr>
            <w:r>
              <w:t xml:space="preserve">Cursor-based pagination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Offset pagination</w:t>
            </w:r>
          </w:p>
        </w:tc>
        <w:tc>
          <w:tcPr/>
          <w:p>
            <w:pPr>
              <w:pStyle w:val="Compact"/>
            </w:pPr>
            <w:r>
              <w:t xml:space="preserve">Correct behaviour on append-heavy relations</w:t>
            </w:r>
          </w:p>
        </w:tc>
        <w:tc>
          <w:tcPr/>
          <w:p>
            <w:pPr>
              <w:pStyle w:val="Compact"/>
            </w:pPr>
            <w:r>
              <w:t xml:space="preserve">Opaque cursors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DL-017</w:t>
            </w:r>
          </w:p>
        </w:tc>
        <w:tc>
          <w:tcPr/>
          <w:p>
            <w:pPr>
              <w:pStyle w:val="Compact"/>
            </w:pPr>
            <w:r>
              <w:t xml:space="preserve">Deterministic checks first, model-based review confined to the residual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Model-based evaluation as the primary mechanism</w:t>
            </w:r>
          </w:p>
        </w:tc>
        <w:tc>
          <w:tcPr/>
          <w:p>
            <w:pPr>
              <w:pStyle w:val="Compact"/>
            </w:pPr>
            <w:r>
              <w:t xml:space="preserve">Avoids making every metric dependent on a component whose reliability must itself be established</w:t>
            </w:r>
          </w:p>
        </w:tc>
        <w:tc>
          <w:tcPr/>
          <w:p>
            <w:pPr>
              <w:pStyle w:val="Compact"/>
            </w:pPr>
            <w:r>
              <w:t xml:space="preserve">Misses nuance that a model-based judge would detect</w:t>
            </w:r>
          </w:p>
        </w:tc>
        <w:tc>
          <w:tcPr/>
          <w:p>
            <w:pPr>
              <w:pStyle w:val="Compact"/>
            </w:pPr>
            <w:r>
              <w:t xml:space="preserve">Deterministic checks proving insufficient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DL-018</w:t>
            </w:r>
          </w:p>
        </w:tc>
        <w:tc>
          <w:tcPr/>
          <w:p>
            <w:pPr>
              <w:pStyle w:val="Compact"/>
            </w:pPr>
            <w:r>
              <w:t xml:space="preserve">Correction Recurrence Rate as the primary metric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Acceptance rate; evaluation pass rate</w:t>
            </w:r>
          </w:p>
        </w:tc>
        <w:tc>
          <w:tcPr/>
          <w:p>
            <w:pPr>
              <w:pStyle w:val="Compact"/>
            </w:pPr>
            <w:r>
              <w:t xml:space="preserve">Directly falsifies the central claim and requires no model-based judge</w:t>
            </w:r>
          </w:p>
        </w:tc>
        <w:tc>
          <w:tcPr/>
          <w:p>
            <w:pPr>
              <w:pStyle w:val="Compact"/>
            </w:pPr>
            <w:r>
              <w:t xml:space="preserve">Sensitive to a threshold choice, which must be stated wherever the metric is quoted</w:t>
            </w:r>
          </w:p>
        </w:tc>
        <w:tc>
          <w:tcPr/>
          <w:p>
            <w:pPr>
              <w:pStyle w:val="Compact"/>
            </w:pPr>
            <w:r>
              <w:t xml:space="preserve">The threshold proving indefensible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DL-019</w:t>
            </w:r>
          </w:p>
        </w:tc>
        <w:tc>
          <w:tcPr/>
          <w:p>
            <w:pPr>
              <w:pStyle w:val="Compact"/>
            </w:pPr>
            <w:r>
              <w:t xml:space="preserve">Fake inference provider for integration testing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Real models throughout</w:t>
            </w:r>
          </w:p>
        </w:tc>
        <w:tc>
          <w:tcPr/>
          <w:p>
            <w:pPr>
              <w:pStyle w:val="Compact"/>
            </w:pPr>
            <w:r>
              <w:t xml:space="preserve">Integration tests must be fast and deterministic. Model behaviour belongs to the evaluation sub-process</w:t>
            </w:r>
          </w:p>
        </w:tc>
        <w:tc>
          <w:tcPr/>
          <w:p>
            <w:pPr>
              <w:pStyle w:val="Compact"/>
            </w:pPr>
            <w:r>
              <w:t xml:space="preserve">Integration tests cannot detect model-specific defects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DL-020</w:t>
            </w:r>
          </w:p>
        </w:tc>
        <w:tc>
          <w:tcPr/>
          <w:p>
            <w:pPr>
              <w:pStyle w:val="Compact"/>
            </w:pPr>
            <w:r>
              <w:t xml:space="preserve">Evaluation thresholds derived from measured variance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Thresholds set from intent</w:t>
            </w:r>
          </w:p>
        </w:tc>
        <w:tc>
          <w:tcPr/>
          <w:p>
            <w:pPr>
              <w:pStyle w:val="Compact"/>
            </w:pPr>
            <w:r>
              <w:t xml:space="preserve">An unstable gate is disabled in practice, and a disabled gate is worse than none</w:t>
            </w:r>
          </w:p>
        </w:tc>
        <w:tc>
          <w:tcPr/>
          <w:p>
            <w:pPr>
              <w:pStyle w:val="Compact"/>
            </w:pPr>
            <w:r>
              <w:t xml:space="preserve">Thresholds cannot be set until the harness exists and variance is measured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3"/>
    <w:bookmarkStart w:id="15" w:name="Xfc843ae24f19afe429f3840568155ead3968e79"/>
    <w:p>
      <w:pPr>
        <w:pStyle w:val="Heading2"/>
      </w:pPr>
      <w:r>
        <w:t xml:space="preserve">5. Decisions pending measurement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to date</w:t>
            </w:r>
          </w:p>
        </w:tc>
        <w:tc>
          <w:tcPr/>
          <w:p>
            <w:pPr>
              <w:pStyle w:val="Compact"/>
            </w:pPr>
            <w:r>
              <w:t xml:space="preserve">Next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DL-021</w:t>
            </w:r>
          </w:p>
        </w:tc>
        <w:tc>
          <w:tcPr/>
          <w:p>
            <w:pPr>
              <w:pStyle w:val="Compact"/>
            </w:pPr>
            <w:r>
              <w:t xml:space="preserve">Hardware provides 6 GB VRAM, not 8 GB or greater</w:t>
            </w:r>
          </w:p>
        </w:tc>
        <w:tc>
          <w:tcPr/>
          <w:p>
            <w:pPr>
              <w:pStyle w:val="Compact"/>
            </w:pPr>
            <w:r>
              <w:t xml:space="preserve">Accepted, corrected by measurement</w:t>
            </w:r>
          </w:p>
        </w:tc>
        <w:tc>
          <w:tcPr/>
          <w:p>
            <w:pPr>
              <w:pStyle w:val="Compact"/>
            </w:pPr>
            <w:r>
              <w:t xml:space="preserve">RTX 4050 Laptop, 6141 MiB, measured 2026-09-07</w:t>
            </w:r>
          </w:p>
        </w:tc>
        <w:tc>
          <w:tcPr/>
          <w:p>
            <w:pPr>
              <w:pStyle w:val="Compact"/>
            </w:pPr>
            <w:r>
              <w:t xml:space="preserve">Planning had recorded 8 GB or greater. The candidate model list was revised throughout the document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DL-022</w:t>
            </w:r>
          </w:p>
        </w:tc>
        <w:tc>
          <w:tcPr/>
          <w:p>
            <w:pPr>
              <w:pStyle w:val="Compact"/>
            </w:pPr>
            <w:r>
              <w:t xml:space="preserve">Model class fixed at 4B parameters rather than 8 to 9B</w:t>
            </w:r>
          </w:p>
        </w:tc>
        <w:tc>
          <w:tcPr/>
          <w:p>
            <w:pPr>
              <w:pStyle w:val="Compact"/>
            </w:pPr>
            <w:r>
              <w:t xml:space="preserve">Provisional</w:t>
            </w:r>
          </w:p>
        </w:tc>
        <w:tc>
          <w:tcPr/>
          <w:p>
            <w:pPr>
              <w:pStyle w:val="Compact"/>
            </w:pPr>
            <w:r>
              <w:t xml:space="preserve">Three candidates measured. 12 of 12 schema-conformant, 2.9 to 3.9 GB resident, fully GPU-offloaded, 9 to 26 s warm</w:t>
            </w:r>
          </w:p>
        </w:tc>
        <w:tc>
          <w:tcPr/>
          <w:p>
            <w:pPr>
              <w:pStyle w:val="Compact"/>
            </w:pPr>
            <w:r>
              <w:t xml:space="preserve">Complete the run across all cases and candidates before this becomes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DL-023</w:t>
            </w:r>
          </w:p>
        </w:tc>
        <w:tc>
          <w:tcPr/>
          <w:p>
            <w:pPr>
              <w:pStyle w:val="Compact"/>
            </w:pPr>
            <w:r>
              <w:t xml:space="preserve">Specific model and quantization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At a sample of four per model, one candidate leads on content quality, another on latency, a third is weakest on coverage</w:t>
            </w:r>
          </w:p>
        </w:tc>
        <w:tc>
          <w:tcPr/>
          <w:p>
            <w:pPr>
              <w:pStyle w:val="Compact"/>
            </w:pPr>
            <w:r>
              <w:t xml:space="preserve">A sample of four cannot separate them. Decide following the complete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DL-024</w:t>
            </w:r>
          </w:p>
        </w:tc>
        <w:tc>
          <w:tcPr/>
          <w:p>
            <w:pPr>
              <w:pStyle w:val="Compact"/>
            </w:pPr>
            <w:r>
              <w:t xml:space="preserve">Single-stage constrained generation rather than reason-then-structure</w:t>
            </w:r>
          </w:p>
        </w:tc>
        <w:tc>
          <w:tcPr/>
          <w:p>
            <w:pPr>
              <w:pStyle w:val="Compact"/>
            </w:pPr>
            <w:r>
              <w:t xml:space="preserve">Provisional</w:t>
            </w:r>
          </w:p>
        </w:tc>
        <w:tc>
          <w:tcPr/>
          <w:p>
            <w:pPr>
              <w:pStyle w:val="Compact"/>
            </w:pPr>
            <w:r>
              <w:t xml:space="preserve">Structural conformance was complete at single stage across every measured candidate</w:t>
            </w:r>
          </w:p>
        </w:tc>
        <w:tc>
          <w:tcPr/>
          <w:p>
            <w:pPr>
              <w:pStyle w:val="Compact"/>
            </w:pPr>
            <w:r>
              <w:t xml:space="preserve">Revisit only if content quality proves weak on the complete run. Two-stage generation costs an additional inference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DL-025</w:t>
            </w:r>
          </w:p>
        </w:tc>
        <w:tc>
          <w:tcPr/>
          <w:p>
            <w:pPr>
              <w:pStyle w:val="Compact"/>
            </w:pPr>
            <w:r>
              <w:t xml:space="preserve">Thinking disabled on hybrid reasoning models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Required for one candidate family. Reasoning tokens dominate generation duration and interact poorly with constrained decoding</w:t>
            </w:r>
          </w:p>
        </w:tc>
        <w:tc>
          <w:tcPr/>
          <w:p>
            <w:pPr>
              <w:pStyle w:val="Compact"/>
            </w:pPr>
            <w:r>
              <w:t xml:space="preserve">A configuration requirement, not an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DL-026</w:t>
            </w:r>
          </w:p>
        </w:tc>
        <w:tc>
          <w:tcPr/>
          <w:p>
            <w:pPr>
              <w:pStyle w:val="Compact"/>
            </w:pPr>
            <w:r>
              <w:t xml:space="preserve">Embedding model and vector dimension</w:t>
            </w:r>
          </w:p>
        </w:tc>
        <w:tc>
          <w:tcPr/>
          <w:p>
            <w:pPr>
              <w:pStyle w:val="Compact"/>
            </w:pPr>
            <w:r>
              <w:t xml:space="preserve">Open, blocking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Recorded as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ADR-0005</w:t>
              </w:r>
            </w:hyperlink>
            <w:r>
              <w:t xml:space="preserve">. Requires a dedicated spike before schema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DL-027</w:t>
            </w:r>
          </w:p>
        </w:tc>
        <w:tc>
          <w:tcPr/>
          <w:p>
            <w:pPr>
              <w:pStyle w:val="Compact"/>
            </w:pPr>
            <w:r>
              <w:t xml:space="preserve">Whether the 8B class fits within the VRAM budget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Two candidates retrieved, neither measured</w:t>
            </w:r>
          </w:p>
        </w:tc>
        <w:tc>
          <w:tcPr/>
          <w:p>
            <w:pPr>
              <w:pStyle w:val="Compact"/>
            </w:pPr>
            <w:r>
              <w:t xml:space="preserve">Measure residency and offload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DL-028</w:t>
            </w:r>
          </w:p>
        </w:tc>
        <w:tc>
          <w:tcPr/>
          <w:p>
            <w:pPr>
              <w:pStyle w:val="Compact"/>
            </w:pPr>
            <w:r>
              <w:t xml:space="preserve">Duplicate similarity and structural similarity thresholds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Derive from measured distributions, then fix</w:t>
            </w:r>
          </w:p>
        </w:tc>
      </w:tr>
    </w:tbl>
    <w:bookmarkEnd w:id="15"/>
    <w:bookmarkStart w:id="20" w:name="X6da302a56a925880b580c9f6d1c52faae26e184"/>
    <w:p>
      <w:pPr>
        <w:pStyle w:val="Heading2"/>
      </w:pPr>
      <w:r>
        <w:t xml:space="preserve">6. Architecture Decision 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PostgreSQL with pgvector as the sole datastore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Job table and polling worker rather than a message broker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agent framework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Mandatory human confirmation for memory writes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0005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Embedding model and vector dimension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</w:tbl>
    <w:bookmarkEnd w:id="20"/>
    <w:bookmarkStart w:id="23" w:name="X5955b10d6c5d10c6e765457ae3cd21db9b5c360"/>
    <w:p>
      <w:pPr>
        <w:pStyle w:val="Heading2"/>
      </w:pPr>
      <w:r>
        <w:t xml:space="preserve">7. Traceability</w:t>
      </w:r>
    </w:p>
    <w:bookmarkStart w:id="21" w:name="Xc8cebd12ba5bc4a2c3838873ec998354387aa82"/>
    <w:p>
      <w:pPr>
        <w:pStyle w:val="Heading3"/>
      </w:pPr>
      <w:r>
        <w:t xml:space="preserve">7.1 User need to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UN-1 Retain conventions across sessions</w:t>
            </w:r>
          </w:p>
        </w:tc>
        <w:tc>
          <w:tcPr/>
          <w:p>
            <w:pPr>
              <w:pStyle w:val="Compact"/>
            </w:pPr>
            <w:r>
              <w:t xml:space="preserve">FR-5, FR-6, FR-4</w:t>
            </w:r>
          </w:p>
        </w:tc>
        <w:tc>
          <w:tcPr/>
          <w:p>
            <w:pPr>
              <w:pStyle w:val="Compact"/>
            </w:pPr>
            <w:r>
              <w:t xml:space="preserve">Feedback processor, memory store, retriever</w:t>
            </w:r>
          </w:p>
        </w:tc>
        <w:tc>
          <w:tcPr/>
          <w:p>
            <w:pPr>
              <w:pStyle w:val="Compact"/>
            </w:pPr>
            <w:r>
              <w:t xml:space="preserve">Correction Recurrence Rate; extraction precision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UN-2 Output in the team's format</w:t>
            </w:r>
          </w:p>
        </w:tc>
        <w:tc>
          <w:tcPr/>
          <w:p>
            <w:pPr>
              <w:pStyle w:val="Compact"/>
            </w:pPr>
            <w:r>
              <w:t xml:space="preserve">FR-2, FR-4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Structured output validity; schema conformance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UN-3 Determine whether it is improving</w:t>
            </w:r>
          </w:p>
        </w:tc>
        <w:tc>
          <w:tcPr/>
          <w:p>
            <w:pPr>
              <w:pStyle w:val="Compact"/>
            </w:pPr>
            <w:r>
              <w:t xml:space="preserve">FR-9, FR-10</w:t>
            </w:r>
          </w:p>
        </w:tc>
        <w:tc>
          <w:tcPr/>
          <w:p>
            <w:pPr>
              <w:pStyle w:val="Compact"/>
            </w:pPr>
            <w:r>
              <w:t xml:space="preserve">Evaluation harness</w:t>
            </w:r>
          </w:p>
        </w:tc>
        <w:tc>
          <w:tcPr/>
          <w:p>
            <w:pPr>
              <w:pStyle w:val="Compact"/>
            </w:pPr>
            <w:r>
              <w:t xml:space="preserve">Correction Recurrence Rate; evaluation pass rate; regression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UN-4 Understand why an output was produced</w:t>
            </w:r>
          </w:p>
        </w:tc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Orchestrator, observability</w:t>
            </w:r>
          </w:p>
        </w:tc>
        <w:tc>
          <w:tcPr/>
          <w:p>
            <w:pPr>
              <w:pStyle w:val="Compact"/>
            </w:pPr>
            <w:r>
              <w:t xml:space="preserve">Trace completeness; trace correlation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UN-5 Complete negative and authorization coverage</w:t>
            </w:r>
          </w:p>
        </w:tc>
        <w:tc>
          <w:tcPr/>
          <w:p>
            <w:pPr>
              <w:pStyle w:val="Compact"/>
            </w:pPr>
            <w:r>
              <w:t xml:space="preserve">FR-2, FR-3</w:t>
            </w:r>
          </w:p>
        </w:tc>
        <w:tc>
          <w:tcPr/>
          <w:p>
            <w:pPr>
              <w:pStyle w:val="Compact"/>
            </w:pPr>
            <w:r>
              <w:t xml:space="preserve">Selector, generator, reviewer</w:t>
            </w:r>
          </w:p>
        </w:tc>
        <w:tc>
          <w:tcPr/>
          <w:p>
            <w:pPr>
              <w:pStyle w:val="Compact"/>
            </w:pPr>
            <w:r>
              <w:t xml:space="preserve">Acceptance criteria coverage; required case type 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UN-6 Avoid third-party transmission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Inference gateway</w:t>
            </w:r>
          </w:p>
        </w:tc>
        <w:tc>
          <w:tcPr/>
          <w:p>
            <w:pPr>
              <w:pStyle w:val="Compact"/>
            </w:pPr>
            <w:r>
              <w:t xml:space="preserve">Provider contract suite; explicit switch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UN-7 Correct or remove a poor rule</w:t>
            </w:r>
          </w:p>
        </w:tc>
        <w:tc>
          <w:tcPr/>
          <w:p>
            <w:pPr>
              <w:pStyle w:val="Compact"/>
            </w:pPr>
            <w:r>
              <w:t xml:space="preserve">FR-7, FR-6.5</w:t>
            </w:r>
          </w:p>
        </w:tc>
        <w:tc>
          <w:tcPr/>
          <w:p>
            <w:pPr>
              <w:pStyle w:val="Compact"/>
            </w:pPr>
            <w:r>
              <w:t xml:space="preserve">Memory store, feedback processor</w:t>
            </w:r>
          </w:p>
        </w:tc>
        <w:tc>
          <w:tcPr/>
          <w:p>
            <w:pPr>
              <w:pStyle w:val="Compact"/>
            </w:pPr>
            <w:r>
              <w:t xml:space="preserve">Deletion completeness; conflict detection tests</w:t>
            </w:r>
          </w:p>
        </w:tc>
      </w:tr>
    </w:tbl>
    <w:bookmarkEnd w:id="21"/>
    <w:bookmarkStart w:id="22" w:name="X0775a3d8de78abb819b63f0047e1f6bf6e08739"/>
    <w:p>
      <w:pPr>
        <w:pStyle w:val="Heading3"/>
      </w:pPr>
      <w:r>
        <w:t xml:space="preserve">7.2 Threat to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Persistent injection through memory</w:t>
            </w:r>
          </w:p>
        </w:tc>
        <w:tc>
          <w:tcPr/>
          <w:p>
            <w:pPr>
              <w:pStyle w:val="Compact"/>
            </w:pPr>
            <w:r>
              <w:t xml:space="preserve">Validation screen, human confirmation, absence of tool surface</w:t>
            </w:r>
          </w:p>
        </w:tc>
        <w:tc>
          <w:tcPr/>
          <w:p>
            <w:pPr>
              <w:pStyle w:val="Compact"/>
            </w:pPr>
            <w:r>
              <w:t xml:space="preserve">Adversarial scenarios targeting extraction and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 Cross-tenant disclosure</w:t>
            </w:r>
          </w:p>
        </w:tc>
        <w:tc>
          <w:tcPr/>
          <w:p>
            <w:pPr>
              <w:pStyle w:val="Compact"/>
            </w:pPr>
            <w:r>
              <w:t xml:space="preserve">Data-layer scoping, server-side tenant resolution</w:t>
            </w:r>
          </w:p>
        </w:tc>
        <w:tc>
          <w:tcPr/>
          <w:p>
            <w:pPr>
              <w:pStyle w:val="Compact"/>
            </w:pPr>
            <w:r>
              <w:t xml:space="preserve">Isolation suite as an unconditional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Feedback poisoning</w:t>
            </w:r>
          </w:p>
        </w:tc>
        <w:tc>
          <w:tcPr/>
          <w:p>
            <w:pPr>
              <w:pStyle w:val="Compact"/>
            </w:pPr>
            <w:r>
              <w:t xml:space="preserve">Bounded updates, clamping, minimum observations, derived scores</w:t>
            </w:r>
          </w:p>
        </w:tc>
        <w:tc>
          <w:tcPr/>
          <w:p>
            <w:pPr>
              <w:pStyle w:val="Compact"/>
            </w:pPr>
            <w:r>
              <w:t xml:space="preserve">Poisoning scenarios; score recomputation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 Elevation through injected instruction</w:t>
            </w:r>
          </w:p>
        </w:tc>
        <w:tc>
          <w:tcPr/>
          <w:p>
            <w:pPr>
              <w:pStyle w:val="Compact"/>
            </w:pPr>
            <w:r>
              <w:t xml:space="preserve">No tool surface</w:t>
            </w:r>
          </w:p>
        </w:tc>
        <w:tc>
          <w:tcPr/>
          <w:p>
            <w:pPr>
              <w:pStyle w:val="Compact"/>
            </w:pPr>
            <w:r>
              <w:t xml:space="preserve">Architecture inspection; adversarial suite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bookmarkEnd w:id="24"/>
    <w:bookmarkEnd w:id="25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dr/" TargetMode="External" /><Relationship Type="http://schemas.openxmlformats.org/officeDocument/2006/relationships/hyperlink" Id="rId16" Target="adr/0001-postgres-pgvector-as-sole-datastore.md" TargetMode="External" /><Relationship Type="http://schemas.openxmlformats.org/officeDocument/2006/relationships/hyperlink" Id="rId17" Target="adr/0002-postgres-job-table-for-async-execution.md" TargetMode="External" /><Relationship Type="http://schemas.openxmlformats.org/officeDocument/2006/relationships/hyperlink" Id="rId18" Target="adr/0003-no-agent-framework.md" TargetMode="External" /><Relationship Type="http://schemas.openxmlformats.org/officeDocument/2006/relationships/hyperlink" Id="rId19" Target="adr/0004-human-confirmation-for-memory-writes.md" TargetMode="External" /><Relationship Type="http://schemas.openxmlformats.org/officeDocument/2006/relationships/hyperlink" Id="rId14" Target="adr/0005-embedding-model-and-vector-dimen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r/" TargetMode="External" /><Relationship Type="http://schemas.openxmlformats.org/officeDocument/2006/relationships/hyperlink" Id="rId16" Target="adr/0001-postgres-pgvector-as-sole-datastore.md" TargetMode="External" /><Relationship Type="http://schemas.openxmlformats.org/officeDocument/2006/relationships/hyperlink" Id="rId17" Target="adr/0002-postgres-job-table-for-async-execution.md" TargetMode="External" /><Relationship Type="http://schemas.openxmlformats.org/officeDocument/2006/relationships/hyperlink" Id="rId18" Target="adr/0003-no-agent-framework.md" TargetMode="External" /><Relationship Type="http://schemas.openxmlformats.org/officeDocument/2006/relationships/hyperlink" Id="rId19" Target="adr/0004-human-confirmation-for-memory-writes.md" TargetMode="External" /><Relationship Type="http://schemas.openxmlformats.org/officeDocument/2006/relationships/hyperlink" Id="rId14" Target="adr/0005-embedding-model-and-vector-dimen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2026-09-08T04:39:57Z</dcterms:created>
  <dcterms:modified xsi:type="dcterms:W3CDTF">2026-09-08T04:39:57Z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