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 unselected. The dimension is fixed at schema creation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Treated as blocking. A dedicated spike precedes schema definition</w:t>
            </w:r>
          </w:p>
        </w:tc>
        <w:tc>
          <w:tcPr/>
          <w:p>
            <w:pPr>
              <w:pStyle w:val="Compact"/>
            </w:pPr>
            <w:r>
              <w:t xml:space="preserve">Schema work commencing before the spike concludes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does not fit the 6 GB budget, and was not measured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Two candidates retrieved and awaiting measurement. Where offload to host memory is required, the resulting latency determines the outcome</w:t>
            </w:r>
          </w:p>
        </w:tc>
        <w:tc>
          <w:tcPr/>
          <w:p>
            <w:pPr>
              <w:pStyle w:val="Compact"/>
            </w:pPr>
            <w:r>
              <w:t xml:space="preserve">Residency measurement exceeding available VRAM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1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</w:tbl>
    <w:bookmarkEnd w:id="11"/>
    <w:bookmarkStart w:id="12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2026-09-08T04:39:56Z</dcterms:created>
  <dcterms:modified xsi:type="dcterms:W3CDTF">2026-09-08T04:39:56Z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