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ae420323a009d5b3785657dc05b6f25744a5bbf"/>
    <w:p>
      <w:pPr>
        <w:pStyle w:val="Heading1"/>
      </w:pPr>
      <w:r>
        <w:t xml:space="preserve">Spike Report: local model selection under a 6 GB VRAM ceiling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NOVA-SPK-001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Can a local model hold NOVA's test plan JSON schema, on this hardware, at usable latency?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Yes for the 4B-parameter class. 12 of 12 schema-conformant, fully GPU-resident, 9 to 26 s warm. The 8B class is unmeasured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 affected</w:t>
            </w:r>
          </w:p>
        </w:tc>
        <w:tc>
          <w:tcPr/>
          <w:p>
            <w:pPr>
              <w:pStyle w:val="Compact"/>
            </w:pPr>
            <w:r>
              <w:t xml:space="preserve">DL-021, DL-022, DL-023, DL-024, DL-025</w:t>
            </w:r>
          </w:p>
        </w:tc>
      </w:tr>
    </w:tbl>
    <w:bookmarkStart w:id="9" w:name="why-this-ran-first"/>
    <w:p>
      <w:pPr>
        <w:pStyle w:val="Heading2"/>
      </w:pPr>
      <w:r>
        <w:t xml:space="preserve">Why this ran first</w:t>
      </w:r>
    </w:p>
    <w:p>
      <w:pPr>
        <w:pStyle w:val="FirstParagraph"/>
      </w:pPr>
      <w:r>
        <w:t xml:space="preserve">Planning had "discrete GPU, 8 GB+ VRAM" written down as a confirmed input, and the candidate model</w:t>
      </w:r>
      <w:r>
        <w:t xml:space="preserve"> </w:t>
      </w:r>
      <w:r>
        <w:t xml:space="preserve">list was built around 9B models. If no local model could hold the schema at tolerable latency, the</w:t>
      </w:r>
      <w:r>
        <w:t xml:space="preserve"> </w:t>
      </w:r>
      <w:r>
        <w:t xml:space="preserve">whole workflow decision would have had to reopen. So this was the cheapest way to test the</w:t>
      </w:r>
      <w:r>
        <w:t xml:space="preserve"> </w:t>
      </w:r>
      <w:r>
        <w:t xml:space="preserve">assumption everything else rests on.</w:t>
      </w:r>
    </w:p>
    <w:p>
      <w:pPr>
        <w:pStyle w:val="BodyText"/>
      </w:pPr>
      <w:r>
        <w:t xml:space="preserve">Good instinct, because the assumption was wrong.</w:t>
      </w:r>
    </w:p>
    <w:bookmarkEnd w:id="9"/>
    <w:bookmarkStart w:id="10" w:name="environment"/>
    <w:p>
      <w:pPr>
        <w:pStyle w:val="Heading2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GeForce RTX 4050 Laptop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6141 MiB (6 GB), not 8 GB+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610.62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 11 Home 10.0.26200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Ollama 0.33.3, host install, API on</w:t>
            </w:r>
            <w:r>
              <w:t xml:space="preserve"> </w:t>
            </w:r>
            <w:r>
              <w:rPr>
                <w:rStyle w:val="VerbatimChar"/>
              </w:rPr>
              <w:t xml:space="preserve">127.0.0.1:11434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3.12.10</w:t>
            </w:r>
          </w:p>
        </w:tc>
      </w:tr>
    </w:tbl>
    <w:p>
      <w:pPr>
        <w:pStyle w:val="BodyText"/>
      </w:pPr>
      <w:r>
        <w:t xml:space="preserve">Norton Security Suite holds three</w:t>
      </w:r>
      <w:r>
        <w:t xml:space="preserve"> </w:t>
      </w:r>
      <w:r>
        <w:rPr>
          <w:rStyle w:val="VerbatimChar"/>
        </w:rPr>
        <w:t xml:space="preserve">model_host.exe</w:t>
      </w:r>
      <w:r>
        <w:t xml:space="preserve"> </w:t>
      </w:r>
      <w:r>
        <w:t xml:space="preserve">processes on the GPU, so usable VRAM is below the</w:t>
      </w:r>
      <w:r>
        <w:t xml:space="preserve"> </w:t>
      </w:r>
      <w:r>
        <w:t xml:space="preserve">nominal 6141 MiB. Recorded so measurements taken here are comparable elsewhere.</w:t>
      </w:r>
    </w:p>
    <w:bookmarkEnd w:id="10"/>
    <w:bookmarkStart w:id="11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Twenty synthetic requirements, five per playbook type (API/CRUD endpoint, auth/permission flow, UI</w:t>
      </w:r>
      <w:r>
        <w:t xml:space="preserve"> </w:t>
      </w:r>
      <w:r>
        <w:t xml:space="preserve">form, data migration), each with four acceptance criteria written to be machine-checkable. All</w:t>
      </w:r>
      <w:r>
        <w:t xml:space="preserve"> </w:t>
      </w:r>
      <w:r>
        <w:t xml:space="preserve">synthetic, so it's committable, and it doubles as the seed for the evaluation golden dataset.</w:t>
      </w:r>
    </w:p>
    <w:p>
      <w:pPr>
        <w:pStyle w:val="BodyText"/>
      </w:pPr>
      <w:r>
        <w:t xml:space="preserve">A Pydantic</w:t>
      </w:r>
      <w:r>
        <w:t xml:space="preserve"> </w:t>
      </w:r>
      <w:r>
        <w:rPr>
          <w:rStyle w:val="VerbatimChar"/>
        </w:rPr>
        <w:t xml:space="preserve">TestPlan</w:t>
      </w:r>
      <w:r>
        <w:t xml:space="preserve"> </w:t>
      </w:r>
      <w:r>
        <w:t xml:space="preserve">model defines the test-plan v1 schema.</w:t>
      </w:r>
      <w:r>
        <w:t xml:space="preserve"> </w:t>
      </w:r>
      <w:r>
        <w:rPr>
          <w:rStyle w:val="VerbatimChar"/>
        </w:rPr>
        <w:t xml:space="preserve">TestPlan.model_json_schema()</w:t>
      </w:r>
      <w:r>
        <w:t xml:space="preserve"> </w:t>
      </w:r>
      <w:r>
        <w:t xml:space="preserve">goes</w:t>
      </w:r>
      <w:r>
        <w:t xml:space="preserve"> </w:t>
      </w:r>
      <w:r>
        <w:t xml:space="preserve">straight into Ollama's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parameter, which applies constrained decoding, and the same model</w:t>
      </w:r>
      <w:r>
        <w:t xml:space="preserve"> </w:t>
      </w:r>
      <w:r>
        <w:t xml:space="preserve">validates the response. That's deliberate: it tests whether one Pydantic definition can serve as</w:t>
      </w:r>
      <w:r>
        <w:t xml:space="preserve"> </w:t>
      </w:r>
      <w:r>
        <w:t xml:space="preserve">request validation, generation schema, and persistence type at once.</w:t>
      </w:r>
    </w:p>
    <w:p>
      <w:pPr>
        <w:pStyle w:val="BodyText"/>
      </w:pPr>
      <w:r>
        <w:t xml:space="preserve">Settings: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num_ctx=8192</w:t>
      </w:r>
      <w:r>
        <w:t xml:space="preserve">, thinking disabled.</w:t>
      </w:r>
    </w:p>
    <w:p>
      <w:pPr>
        <w:pStyle w:val="BodyText"/>
      </w:pPr>
      <w:r>
        <w:t xml:space="preserve">The prompt uses the intended production shape. Trusted system template carrying the playbook and its</w:t>
      </w:r>
      <w:r>
        <w:t xml:space="preserve"> </w:t>
      </w:r>
      <w:r>
        <w:t xml:space="preserve">required case types, requirement wrapped in</w:t>
      </w:r>
      <w:r>
        <w:t xml:space="preserve"> </w:t>
      </w:r>
      <w:r>
        <w:rPr>
          <w:rStyle w:val="VerbatimChar"/>
        </w:rPr>
        <w:t xml:space="preserve">&lt;requirement&gt;</w:t>
      </w:r>
      <w:r>
        <w:t xml:space="preserve"> </w:t>
      </w:r>
      <w:r>
        <w:t xml:space="preserve">tags and explicitly labelled as untrusted</w:t>
      </w:r>
      <w:r>
        <w:t xml:space="preserve"> </w:t>
      </w:r>
      <w:r>
        <w:t xml:space="preserve">data that must not be followed as instructions.</w:t>
      </w:r>
    </w:p>
    <w:p>
      <w:pPr>
        <w:pStyle w:val="BodyText"/>
      </w:pPr>
      <w:r>
        <w:t xml:space="preserve">Deterministic scoring per generation:</w:t>
      </w:r>
    </w:p>
    <w:p>
      <w:pPr>
        <w:pStyle w:val="Compact"/>
        <w:numPr>
          <w:ilvl w:val="0"/>
          <w:numId w:val="1001"/>
        </w:numPr>
      </w:pPr>
      <w:r>
        <w:t xml:space="preserve">Schema validity, first attempt</w:t>
      </w:r>
    </w:p>
    <w:p>
      <w:pPr>
        <w:pStyle w:val="Compact"/>
        <w:numPr>
          <w:ilvl w:val="0"/>
          <w:numId w:val="1001"/>
        </w:numPr>
      </w:pPr>
      <w:r>
        <w:t xml:space="preserve">AC coverage: fraction of the requirement's ACs referenced by at least one case</w:t>
      </w:r>
    </w:p>
    <w:p>
      <w:pPr>
        <w:pStyle w:val="Compact"/>
        <w:numPr>
          <w:ilvl w:val="0"/>
          <w:numId w:val="1001"/>
        </w:numPr>
      </w:pPr>
      <w:r>
        <w:t xml:space="preserve">Hallucinated ACs: references to AC ids that don't exist</w:t>
      </w:r>
    </w:p>
    <w:p>
      <w:pPr>
        <w:pStyle w:val="Compact"/>
        <w:numPr>
          <w:ilvl w:val="0"/>
          <w:numId w:val="1001"/>
        </w:numPr>
      </w:pPr>
      <w:r>
        <w:t xml:space="preserve">Required case-type presence: fraction of the playbook's mandated types that appear</w:t>
      </w:r>
    </w:p>
    <w:p>
      <w:pPr>
        <w:pStyle w:val="FirstParagraph"/>
      </w:pPr>
      <w:r>
        <w:t xml:space="preserve">The scoring functions have an assertion-based self-test, which passes.</w:t>
      </w:r>
    </w:p>
    <w:bookmarkEnd w:id="11"/>
    <w:bookmarkStart w:id="1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t xml:space="preserve">This was a smoke run at n=4 per model, one requirement per playbook type. The numbers are</w:t>
      </w:r>
      <w:r>
        <w:t xml:space="preserve"> </w:t>
      </w:r>
      <w:r>
        <w:t xml:space="preserve">directionally useful and statistically weak. Percentile latency at n=4 is basically min/max and</w:t>
      </w:r>
      <w:r>
        <w:t xml:space="preserve"> </w:t>
      </w:r>
      <w:r>
        <w:t xml:space="preserve">shouldn't be quoted as p50/p95.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Resident @ 8K ctx</w:t>
            </w:r>
          </w:p>
        </w:tc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Schema valid</w:t>
            </w:r>
          </w:p>
        </w:tc>
        <w:tc>
          <w:tcPr/>
          <w:p>
            <w:pPr>
              <w:pStyle w:val="Compact"/>
            </w:pPr>
            <w:r>
              <w:t xml:space="preserve">AC coverage</w:t>
            </w:r>
          </w:p>
        </w:tc>
        <w:tc>
          <w:tcPr/>
          <w:p>
            <w:pPr>
              <w:pStyle w:val="Compact"/>
            </w:pPr>
            <w:r>
              <w:t xml:space="preserve">Required types</w:t>
            </w:r>
          </w:p>
        </w:tc>
        <w:tc>
          <w:tcPr/>
          <w:p>
            <w:pPr>
              <w:pStyle w:val="Compact"/>
            </w:pPr>
            <w:r>
              <w:t xml:space="preserve">Warm latency</w:t>
            </w:r>
          </w:p>
        </w:tc>
        <w:tc>
          <w:tcPr/>
          <w:p>
            <w:pPr>
              <w:pStyle w:val="Compact"/>
            </w:pPr>
            <w:r>
              <w:t xml:space="preserve">Cases/plan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qwen3:4b</w:t>
            </w:r>
          </w:p>
        </w:tc>
        <w:tc>
          <w:tcPr/>
          <w:p>
            <w:pPr>
              <w:pStyle w:val="Compact"/>
            </w:pPr>
            <w:r>
              <w:t xml:space="preserve">3.9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12.6 to 17.4 s</w:t>
            </w:r>
          </w:p>
        </w:tc>
        <w:tc>
          <w:tcPr/>
          <w:p>
            <w:pPr>
              <w:pStyle w:val="Compact"/>
            </w:pPr>
            <w:r>
              <w:t xml:space="preserve">4 to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gemma3:4b</w:t>
            </w:r>
          </w:p>
        </w:tc>
        <w:tc>
          <w:tcPr/>
          <w:p>
            <w:pPr>
              <w:pStyle w:val="Compact"/>
            </w:pPr>
            <w:r>
              <w:t xml:space="preserve">2.9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18.0 to 21.0 s</w:t>
            </w:r>
          </w:p>
        </w:tc>
        <w:tc>
          <w:tcPr/>
          <w:p>
            <w:pPr>
              <w:pStyle w:val="Compact"/>
            </w:pPr>
            <w:r>
              <w:t xml:space="preserve">5 to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phi4-mini</w:t>
            </w:r>
          </w:p>
        </w:tc>
        <w:tc>
          <w:tcPr/>
          <w:p>
            <w:pPr>
              <w:pStyle w:val="Compact"/>
            </w:pPr>
            <w:r>
              <w:t xml:space="preserve">3.6 GB</w:t>
            </w:r>
          </w:p>
        </w:tc>
        <w:tc>
          <w:tcPr/>
          <w:p>
            <w:pPr>
              <w:pStyle w:val="Compact"/>
            </w:pPr>
            <w:r>
              <w:t xml:space="preserve">100% GPU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  <w:tc>
          <w:tcPr/>
          <w:p>
            <w:pPr>
              <w:pStyle w:val="Compact"/>
            </w:pPr>
            <w:r>
              <w:t xml:space="preserve">9.4 to 25.7 s</w:t>
            </w:r>
          </w:p>
        </w:tc>
        <w:tc>
          <w:tcPr/>
          <w:p>
            <w:pPr>
              <w:pStyle w:val="Compact"/>
            </w:pPr>
            <w:r>
              <w:t xml:space="preserve">3 to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qwen3:8b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granite3.3:8b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 measured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Raw per-requirement output:</w:t>
      </w:r>
      <w:r>
        <w:t xml:space="preserve"> </w:t>
      </w:r>
      <w:hyperlink r:id="rId12">
        <w:r>
          <w:rPr>
            <w:rStyle w:val="VerbatimChar"/>
          </w:rPr>
          <w:t xml:space="preserve">artifacts/run-log-2026-09-07.txt</w:t>
        </w:r>
      </w:hyperlink>
      <w:r>
        <w:t xml:space="preserve">.</w:t>
      </w:r>
    </w:p>
    <w:p>
      <w:pPr>
        <w:pStyle w:val="BodyText"/>
      </w:pPr>
      <w:r>
        <w:t xml:space="preserve">Three individual results worth noting: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gemma3:4b</w:t>
      </w:r>
      <w:r>
        <w:t xml:space="preserve"> </w:t>
      </w:r>
      <w:r>
        <w:t xml:space="preserve">took 115.1 s on its first call. That's cold model load, not generation. Warm calls for</w:t>
      </w:r>
      <w:r>
        <w:t xml:space="preserve"> </w:t>
      </w:r>
      <w:r>
        <w:t xml:space="preserve">the same model ran 18 to 21 s. Cold load is a real UX and evaluation-runtime cost and has to be</w:t>
      </w:r>
      <w:r>
        <w:t xml:space="preserve"> </w:t>
      </w:r>
      <w:r>
        <w:t xml:space="preserve">excluded from latency metrics or reported separately.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qwen3:4b</w:t>
      </w:r>
      <w:r>
        <w:t xml:space="preserve"> </w:t>
      </w:r>
      <w:r>
        <w:t xml:space="preserve">covered only 2 of 4 acceptance criteria on the delete-user requirement, its one weak</w:t>
      </w:r>
      <w:r>
        <w:t xml:space="preserve"> </w:t>
      </w:r>
      <w:r>
        <w:t xml:space="preserve">result. Every other generation across all three models covered all four.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phi4-mini</w:t>
      </w:r>
      <w:r>
        <w:t xml:space="preserve"> </w:t>
      </w:r>
      <w:r>
        <w:t xml:space="preserve">missed a required case type once, on the auth flow, at 2 of 3 types present.</w:t>
      </w:r>
    </w:p>
    <w:bookmarkEnd w:id="13"/>
    <w:bookmarkStart w:id="14" w:name="findings"/>
    <w:p>
      <w:pPr>
        <w:pStyle w:val="Heading2"/>
      </w:pPr>
      <w:r>
        <w:t xml:space="preserve">Findings</w:t>
      </w:r>
    </w:p>
    <w:p>
      <w:pPr>
        <w:pStyle w:val="FirstParagraph"/>
      </w:pPr>
      <w:r>
        <w:rPr>
          <w:b/>
          <w:bCs/>
        </w:rPr>
        <w:t xml:space="preserve">The hardware assumption was wrong.</w:t>
      </w:r>
      <w:r>
        <w:t xml:space="preserve"> </w:t>
      </w:r>
      <w:r>
        <w:t xml:space="preserve">6 GB, not 8 GB+. The original 9B candidate list isn't viable,</w:t>
      </w:r>
      <w:r>
        <w:t xml:space="preserve"> </w:t>
      </w:r>
      <w:r>
        <w:t xml:space="preserve">since a 9B at Q4 leaves effectively no KV-cache headroom on this card.</w:t>
      </w:r>
    </w:p>
    <w:p>
      <w:pPr>
        <w:pStyle w:val="BodyText"/>
      </w:pPr>
      <w:r>
        <w:rPr>
          <w:b/>
          <w:bCs/>
        </w:rPr>
        <w:t xml:space="preserve">Constrained decoding held everywhere.</w:t>
      </w:r>
      <w:r>
        <w:t xml:space="preserve"> </w:t>
      </w:r>
      <w:r>
        <w:t xml:space="preserve">12 of 12 generations valid first attempt, no repair retry</w:t>
      </w:r>
      <w:r>
        <w:t xml:space="preserve"> </w:t>
      </w:r>
      <w:r>
        <w:t xml:space="preserve">needed. Ollama accepted the Pydantic-generated JSON Schema including its nested</w:t>
      </w:r>
      <w:r>
        <w:t xml:space="preserve"> </w:t>
      </w:r>
      <w:r>
        <w:rPr>
          <w:rStyle w:val="VerbatimChar"/>
        </w:rPr>
        <w:t xml:space="preserve">$defs</w:t>
      </w:r>
      <w:r>
        <w:t xml:space="preserve">/</w:t>
      </w:r>
      <w:r>
        <w:rPr>
          <w:rStyle w:val="VerbatimChar"/>
        </w:rPr>
        <w:t xml:space="preserve">$ref</w:t>
      </w:r>
      <w:r>
        <w:t xml:space="preserve"> </w:t>
      </w:r>
      <w:r>
        <w:t xml:space="preserve">structure, so the single-source-of-truth property the design leans on is real.</w:t>
      </w:r>
    </w:p>
    <w:p>
      <w:pPr>
        <w:pStyle w:val="BodyText"/>
      </w:pPr>
      <w:r>
        <w:rPr>
          <w:b/>
          <w:bCs/>
        </w:rPr>
        <w:t xml:space="preserve">4B-class fits comfortably.</w:t>
      </w:r>
      <w:r>
        <w:t xml:space="preserve"> </w:t>
      </w:r>
      <w:r>
        <w:t xml:space="preserve">2.9 to 3.9 GB resident at 8K context with 100% GPU offload, leaving</w:t>
      </w:r>
      <w:r>
        <w:t xml:space="preserve"> </w:t>
      </w:r>
      <w:r>
        <w:t xml:space="preserve">headroom on a 6 GB card. Context budget isn't the binding constraint I expected it to be at this</w:t>
      </w:r>
      <w:r>
        <w:t xml:space="preserve"> </w:t>
      </w:r>
      <w:r>
        <w:t xml:space="preserve">model size.</w:t>
      </w:r>
    </w:p>
    <w:p>
      <w:pPr>
        <w:pStyle w:val="BodyText"/>
      </w:pPr>
      <w:r>
        <w:rPr>
          <w:b/>
          <w:bCs/>
        </w:rPr>
        <w:t xml:space="preserve">Warm latency is much better than the target.</w:t>
      </w:r>
      <w:r>
        <w:t xml:space="preserve"> </w:t>
      </w:r>
      <w:r>
        <w:t xml:space="preserve">The draft NFR was p95 â‰¤90 s end to end. Generation</w:t>
      </w:r>
      <w:r>
        <w:t xml:space="preserve"> </w:t>
      </w:r>
      <w:r>
        <w:t xml:space="preserve">alone came in at 9 to 26 s warm. Even adding retrieval, a critic pass, and persistence, there's a lot</w:t>
      </w:r>
      <w:r>
        <w:t xml:space="preserve"> </w:t>
      </w:r>
      <w:r>
        <w:t xml:space="preserve">of margin. That target should be tightened once the full pipeline exists, because one with this much</w:t>
      </w:r>
      <w:r>
        <w:t xml:space="preserve"> </w:t>
      </w:r>
      <w:r>
        <w:t xml:space="preserve">slack doesn't constrain anything.</w:t>
      </w:r>
    </w:p>
    <w:p>
      <w:pPr>
        <w:pStyle w:val="BodyText"/>
      </w:pPr>
      <w:r>
        <w:rPr>
          <w:b/>
          <w:bCs/>
        </w:rPr>
        <w:t xml:space="preserve">Hybrid reasoning models need thinking turned off.</w:t>
      </w:r>
      <w:r>
        <w:t xml:space="preserve"> </w:t>
      </w:r>
      <w:r>
        <w:rPr>
          <w:rStyle w:val="VerbatimChar"/>
        </w:rPr>
        <w:t xml:space="preserve">qwen3</w:t>
      </w:r>
      <w:r>
        <w:t xml:space="preserve"> </w:t>
      </w:r>
      <w:r>
        <w:t xml:space="preserve">is one. Left at default, thinking</w:t>
      </w:r>
      <w:r>
        <w:t xml:space="preserve"> </w:t>
      </w:r>
      <w:r>
        <w:t xml:space="preserve">tokens dominate generation time and interact badly with constrained decoding. Required config, not</w:t>
      </w:r>
      <w:r>
        <w:t xml:space="preserve"> </w:t>
      </w:r>
      <w:r>
        <w:t xml:space="preserve">an optimization.</w:t>
      </w:r>
    </w:p>
    <w:p>
      <w:pPr>
        <w:pStyle w:val="BodyText"/>
      </w:pPr>
      <w:r>
        <w:rPr>
          <w:b/>
          <w:bCs/>
        </w:rPr>
        <w:t xml:space="preserve">Content quality is the discriminator, not structure.</w:t>
      </w:r>
      <w:r>
        <w:t xml:space="preserve"> </w:t>
      </w:r>
      <w:r>
        <w:t xml:space="preserve">Since structural validity was 100%</w:t>
      </w:r>
      <w:r>
        <w:t xml:space="preserve"> </w:t>
      </w:r>
      <w:r>
        <w:t xml:space="preserve">everywhere, model selection comes down to AC coverage, required case-type adherence, and latency.</w:t>
      </w:r>
      <w:r>
        <w:t xml:space="preserve"> </w:t>
      </w:r>
      <w:r>
        <w:t xml:space="preserve">That's a much harder thing to measure, and it's what the evaluation harness is for.</w:t>
      </w:r>
    </w:p>
    <w:bookmarkEnd w:id="14"/>
    <w:bookmarkStart w:id="15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These numbers will get quoted later, so:</w:t>
      </w:r>
    </w:p>
    <w:p>
      <w:pPr>
        <w:pStyle w:val="Compact"/>
        <w:numPr>
          <w:ilvl w:val="0"/>
          <w:numId w:val="1003"/>
        </w:numPr>
      </w:pPr>
      <w:r>
        <w:t xml:space="preserve">n=4 per model. Way too small for percentile latency, or for separating models whose quality</w:t>
      </w:r>
      <w:r>
        <w:t xml:space="preserve"> </w:t>
      </w:r>
      <w:r>
        <w:t xml:space="preserve">scores are close.</w:t>
      </w:r>
    </w:p>
    <w:p>
      <w:pPr>
        <w:pStyle w:val="Compact"/>
        <w:numPr>
          <w:ilvl w:val="0"/>
          <w:numId w:val="1003"/>
        </w:numPr>
      </w:pPr>
      <w:r>
        <w:t xml:space="preserve">Two of five candidates never measured. Both 8B ones are on disk, but the run stopped before</w:t>
      </w:r>
      <w:r>
        <w:t xml:space="preserve"> </w:t>
      </w:r>
      <w:r>
        <w:t xml:space="preserve">reaching them. The 8B fit question is open.</w:t>
      </w:r>
    </w:p>
    <w:p>
      <w:pPr>
        <w:pStyle w:val="Compact"/>
        <w:numPr>
          <w:ilvl w:val="0"/>
          <w:numId w:val="1003"/>
        </w:numPr>
      </w:pPr>
      <w:r>
        <w:t xml:space="preserve">One hardware config, one run, no repeats. Run-to-run variance is unmeasured, and variance is what</w:t>
      </w:r>
      <w:r>
        <w:t xml:space="preserve"> </w:t>
      </w:r>
      <w:r>
        <w:t xml:space="preserve">evaluation thresholds eventually have to come from.</w:t>
      </w:r>
    </w:p>
    <w:p>
      <w:pPr>
        <w:pStyle w:val="Compact"/>
        <w:numPr>
          <w:ilvl w:val="0"/>
          <w:numId w:val="1003"/>
        </w:numPr>
      </w:pPr>
      <w:r>
        <w:t xml:space="preserve">AC coverage trusts the model's own</w:t>
      </w:r>
      <w:r>
        <w:t xml:space="preserve"> </w:t>
      </w:r>
      <w:r>
        <w:rPr>
          <w:rStyle w:val="VerbatimChar"/>
        </w:rPr>
        <w:t xml:space="preserve">covers_acceptance_criteria</w:t>
      </w:r>
      <w:r>
        <w:t xml:space="preserve"> </w:t>
      </w:r>
      <w:r>
        <w:t xml:space="preserve">labelling. A case can claim an AC</w:t>
      </w:r>
      <w:r>
        <w:t xml:space="preserve"> </w:t>
      </w:r>
      <w:r>
        <w:t xml:space="preserve">without meaningfully covering it, so the metric is an upper bound.</w:t>
      </w:r>
    </w:p>
    <w:p>
      <w:pPr>
        <w:pStyle w:val="Compact"/>
        <w:numPr>
          <w:ilvl w:val="0"/>
          <w:numId w:val="1003"/>
        </w:numPr>
      </w:pPr>
      <w:r>
        <w:t xml:space="preserve">Required case-type presence trusts the model's own</w:t>
      </w:r>
      <w:r>
        <w:t xml:space="preserve"> </w:t>
      </w:r>
      <w:r>
        <w:rPr>
          <w:rStyle w:val="VerbatimChar"/>
        </w:rPr>
        <w:t xml:space="preserve">case_type</w:t>
      </w:r>
      <w:r>
        <w:t xml:space="preserve"> </w:t>
      </w:r>
      <w:r>
        <w:t xml:space="preserve">tagging, same problem.</w:t>
      </w:r>
    </w:p>
    <w:p>
      <w:pPr>
        <w:pStyle w:val="Compact"/>
        <w:numPr>
          <w:ilvl w:val="0"/>
          <w:numId w:val="1003"/>
        </w:numPr>
      </w:pPr>
      <w:r>
        <w:t xml:space="preserve">No duplicate-case detection. That needs embeddings, which aren't chosen yet.</w:t>
      </w:r>
    </w:p>
    <w:p>
      <w:pPr>
        <w:pStyle w:val="Compact"/>
        <w:numPr>
          <w:ilvl w:val="0"/>
          <w:numId w:val="1003"/>
        </w:numPr>
      </w:pPr>
      <w:r>
        <w:t xml:space="preserve">Cold-load latency contaminates any naive percentile, and I only caught it because one outlier was</w:t>
      </w:r>
      <w:r>
        <w:t xml:space="preserve"> </w:t>
      </w:r>
      <w:r>
        <w:t xml:space="preserve">big enough to notice.</w:t>
      </w:r>
    </w:p>
    <w:bookmarkEnd w:id="15"/>
    <w:bookmarkStart w:id="16" w:name="where-this-leaves-the-model-choice"/>
    <w:p>
      <w:pPr>
        <w:pStyle w:val="Heading2"/>
      </w:pPr>
      <w:r>
        <w:t xml:space="preserve">Where this leaves the model choice</w:t>
      </w:r>
    </w:p>
    <w:p>
      <w:pPr>
        <w:pStyle w:val="FirstParagraph"/>
      </w:pPr>
      <w:r>
        <w:t xml:space="preserve">Default to a 4B-class model. On what's measured,</w:t>
      </w:r>
      <w:r>
        <w:t xml:space="preserve"> </w:t>
      </w:r>
      <w:r>
        <w:rPr>
          <w:rStyle w:val="VerbatimChar"/>
        </w:rPr>
        <w:t xml:space="preserve">gemma3:4b</w:t>
      </w:r>
      <w:r>
        <w:t xml:space="preserve"> </w:t>
      </w:r>
      <w:r>
        <w:t xml:space="preserve">leads on content quality with perfect AC</w:t>
      </w:r>
      <w:r>
        <w:t xml:space="preserve"> </w:t>
      </w:r>
      <w:r>
        <w:t xml:space="preserve">coverage and required case-type presence across all four requirements, at 2.9 GB resident, the</w:t>
      </w:r>
      <w:r>
        <w:t xml:space="preserve"> </w:t>
      </w:r>
      <w:r>
        <w:t xml:space="preserve">smallest footprint of the three.</w:t>
      </w:r>
      <w:r>
        <w:t xml:space="preserve"> </w:t>
      </w:r>
      <w:r>
        <w:rPr>
          <w:rStyle w:val="VerbatimChar"/>
        </w:rPr>
        <w:t xml:space="preserve">phi4-mini</w:t>
      </w:r>
      <w:r>
        <w:t xml:space="preserve"> </w:t>
      </w:r>
      <w:r>
        <w:t xml:space="preserve">is the latency leader but missed a required case type.</w:t>
      </w:r>
      <w:r>
        <w:t xml:space="preserve"> </w:t>
      </w:r>
      <w:r>
        <w:rPr>
          <w:rStyle w:val="VerbatimChar"/>
        </w:rPr>
        <w:t xml:space="preserve">qwen3:4b</w:t>
      </w:r>
      <w:r>
        <w:t xml:space="preserve"> </w:t>
      </w:r>
      <w:r>
        <w:t xml:space="preserve">is the most consistent on speed but had the weakest coverage result.</w:t>
      </w:r>
    </w:p>
    <w:p>
      <w:pPr>
        <w:pStyle w:val="BodyText"/>
      </w:pPr>
      <w:r>
        <w:t xml:space="preserve">This is provisional, not a decision. Four requirements per model can't separate them. It needs</w:t>
      </w:r>
      <w:r>
        <w:t xml:space="preserve"> </w:t>
      </w:r>
      <w:r>
        <w:t xml:space="preserve">confirming against the full twenty, and ideally against repeat runs, before it goes into an ADR as</w:t>
      </w:r>
      <w:r>
        <w:t xml:space="preserve"> </w:t>
      </w:r>
      <w:r>
        <w:t xml:space="preserve">settled.</w:t>
      </w:r>
    </w:p>
    <w:bookmarkEnd w:id="16"/>
    <w:bookmarkStart w:id="17" w:name="follow-up"/>
    <w:p>
      <w:pPr>
        <w:pStyle w:val="Heading2"/>
      </w:pPr>
      <w:r>
        <w:t xml:space="preserve">Follow-up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 all 20 requirements against all 5 models</w:t>
            </w:r>
          </w:p>
        </w:tc>
        <w:tc>
          <w:tcPr/>
          <w:p>
            <w:pPr>
              <w:pStyle w:val="Compact"/>
            </w:pPr>
            <w:r>
              <w:t xml:space="preserve">Turns a provisional lean into an actual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  <w:r>
              <w:t xml:space="preserve"> </w:t>
            </w:r>
            <w:r>
              <w:rPr>
                <w:rStyle w:val="VerbatimChar"/>
              </w:rPr>
              <w:t xml:space="preserve">qwen3:8b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granite3.3:8b</w:t>
            </w:r>
            <w:r>
              <w:t xml:space="preserve"> </w:t>
            </w:r>
            <w:r>
              <w:t xml:space="preserve">residency and offload split</w:t>
            </w:r>
          </w:p>
        </w:tc>
        <w:tc>
          <w:tcPr/>
          <w:p>
            <w:pPr>
              <w:pStyle w:val="Compact"/>
            </w:pPr>
            <w:r>
              <w:t xml:space="preserve">Determines whether 8B is viable on 6 GB at all, or only with CPU offload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Repeat runs at fixed seed to measure variance</w:t>
            </w:r>
          </w:p>
        </w:tc>
        <w:tc>
          <w:tcPr/>
          <w:p>
            <w:pPr>
              <w:pStyle w:val="Compact"/>
            </w:pPr>
            <w:r>
              <w:t xml:space="preserve">Evaluation thresholds have to come from measured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Separate cold load from warm generation everywhere</w:t>
            </w:r>
          </w:p>
        </w:tc>
        <w:tc>
          <w:tcPr/>
          <w:p>
            <w:pPr>
              <w:pStyle w:val="Compact"/>
            </w:pPr>
            <w:r>
              <w:t xml:space="preserve">Otherwise every percentile is contaminated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Spike the embedding model and fix its dimension</w:t>
            </w:r>
          </w:p>
        </w:tc>
        <w:tc>
          <w:tcPr/>
          <w:p>
            <w:pPr>
              <w:pStyle w:val="Compact"/>
            </w:pPr>
            <w:r>
              <w:t xml:space="preserve">Sticky. The dimension goes into the schema, and changing it later forces a re-embedding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Hand-audit case-type and AC labels on a sample of plans</w:t>
            </w:r>
          </w:p>
        </w:tc>
        <w:tc>
          <w:tcPr/>
          <w:p>
            <w:pPr>
              <w:pStyle w:val="Compact"/>
            </w:pPr>
            <w:r>
              <w:t xml:space="preserve">Establishes how far the two deterministic metrics can be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host Ollama is reachable from inside a container</w:t>
            </w:r>
          </w:p>
        </w:tc>
        <w:tc>
          <w:tcPr/>
          <w:p>
            <w:pPr>
              <w:pStyle w:val="Compact"/>
            </w:pPr>
            <w:r>
              <w:t xml:space="preserve">Known first-run friction for anyone cloning the repo</w:t>
            </w:r>
          </w:p>
        </w:tc>
      </w:tr>
    </w:tbl>
    <w:bookmarkEnd w:id="17"/>
    <w:bookmarkStart w:id="19" w:name="reproducing-it"/>
    <w:p>
      <w:pPr>
        <w:pStyle w:val="Heading2"/>
      </w:pPr>
      <w:r>
        <w:t xml:space="preserve">Reproducing it</w:t>
      </w:r>
    </w:p>
    <w:p>
      <w:pPr>
        <w:pStyle w:val="FirstParagraph"/>
      </w:pPr>
      <w:r>
        <w:t xml:space="preserve">Everything is in</w:t>
      </w:r>
      <w:r>
        <w:t xml:space="preserve"> </w:t>
      </w:r>
      <w:hyperlink r:id="rId18">
        <w:r>
          <w:rPr>
            <w:rStyle w:val="VerbatimChar"/>
          </w:rPr>
          <w:t xml:space="preserve">artifacts/</w:t>
        </w:r>
      </w:hyperlink>
      <w:r>
        <w:t xml:space="preserve">: the requirement set, the harness, the raw log.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pydantic requests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NOVA_LIMIT=4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artifacts/spike.py gemma3:4b phi4-mini qwen3:4b</w:t>
      </w:r>
    </w:p>
    <w:p>
      <w:pPr>
        <w:pStyle w:val="FirstParagraph"/>
      </w:pPr>
      <w:r>
        <w:t xml:space="preserve">Drop</w:t>
      </w:r>
      <w:r>
        <w:t xml:space="preserve"> </w:t>
      </w:r>
      <w:r>
        <w:rPr>
          <w:rStyle w:val="VerbatimChar"/>
        </w:rPr>
        <w:t xml:space="preserve">NOVA_LIMIT</w:t>
      </w:r>
      <w:r>
        <w:t xml:space="preserve"> </w:t>
      </w:r>
      <w:r>
        <w:t xml:space="preserve">for the full twenty.</w:t>
      </w:r>
      <w:r>
        <w:t xml:space="preserve"> </w:t>
      </w:r>
      <w:r>
        <w:rPr>
          <w:rStyle w:val="VerbatimChar"/>
        </w:rPr>
        <w:t xml:space="preserve">py -3 artifacts/spike.py --selftest</w:t>
      </w:r>
      <w:r>
        <w:t xml:space="preserve"> </w:t>
      </w:r>
      <w:r>
        <w:t xml:space="preserve">runs the scoring</w:t>
      </w:r>
      <w:r>
        <w:t xml:space="preserve"> </w:t>
      </w:r>
      <w:r>
        <w:t xml:space="preserve">self-test.</w:t>
      </w:r>
    </w:p>
    <w:bookmarkEnd w:id="19"/>
    <w:bookmarkEnd w:id="20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artifacts/" TargetMode="External" /><Relationship Type="http://schemas.openxmlformats.org/officeDocument/2006/relationships/hyperlink" Id="rId12" Target="artifacts/run-log-2026-09-07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rtifacts/" TargetMode="External" /><Relationship Type="http://schemas.openxmlformats.org/officeDocument/2006/relationships/hyperlink" Id="rId12" Target="artifacts/run-log-2026-09-07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2026-09-08T04:40:03Z</dcterms:created>
  <dcterms:modified xsi:type="dcterms:W3CDTF">2026-09-08T04:40:03Z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