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pike-reports"/>
    <w:p>
      <w:pPr>
        <w:pStyle w:val="Heading1"/>
      </w:pPr>
      <w:r>
        <w:t xml:space="preserve">Spike reports</w:t>
      </w:r>
    </w:p>
    <w:p>
      <w:pPr>
        <w:pStyle w:val="FirstParagraph"/>
      </w:pPr>
      <w:r>
        <w:t xml:space="preserve">Time-boxed investigations run to resolve a specific uncertainty before it can affect design or</w:t>
      </w:r>
      <w:r>
        <w:t xml:space="preserve"> </w:t>
      </w:r>
      <w:r>
        <w:t xml:space="preserve">implementation. Each produces a report with a stated method, raw output, and limitations.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NOVA-SPK-001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Local model selection under a 6 GB VRAM ceiling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4B-parameter class holds the test plan schema at 9 to 26 s warm, fully GPU-resident. The 8B class remains unmeasured</w:t>
            </w:r>
          </w:p>
        </w:tc>
      </w:tr>
    </w:tbl>
    <w:bookmarkStart w:id="11" w:name="planned"/>
    <w:p>
      <w:pPr>
        <w:pStyle w:val="Heading2"/>
      </w:pPr>
      <w:r>
        <w:t xml:space="preserve">Planned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 and vector dimension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ADR-0005</w:t>
              </w:r>
            </w:hyperlink>
            <w:r>
              <w:t xml:space="preserve">, R-04</w:t>
            </w:r>
          </w:p>
        </w:tc>
        <w:tc>
          <w:tcPr/>
          <w:p>
            <w:pPr>
              <w:pStyle w:val="Compact"/>
            </w:pPr>
            <w:r>
              <w:t xml:space="preserve">Yes. Blocks schema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Container-to-host inference reachability</w:t>
            </w:r>
          </w:p>
        </w:tc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No, but it is the most probable early impediment</w:t>
            </w:r>
          </w:p>
        </w:tc>
      </w:tr>
    </w:tbl>
    <w:bookmarkEnd w:id="11"/>
    <w:bookmarkStart w:id="12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A spike is time-boxed before it starts. Exceeding the box is itself a finding</w:t>
      </w:r>
    </w:p>
    <w:p>
      <w:pPr>
        <w:pStyle w:val="Compact"/>
        <w:numPr>
          <w:ilvl w:val="0"/>
          <w:numId w:val="1001"/>
        </w:numPr>
      </w:pPr>
      <w:r>
        <w:t xml:space="preserve">Every report states its method, its sample size, and its limitations. A measurement without a</w:t>
      </w:r>
      <w:r>
        <w:t xml:space="preserve"> </w:t>
      </w:r>
      <w:r>
        <w:t xml:space="preserve">stated sample size is not a result</w:t>
      </w:r>
    </w:p>
    <w:p>
      <w:pPr>
        <w:pStyle w:val="Compact"/>
        <w:numPr>
          <w:ilvl w:val="0"/>
          <w:numId w:val="1001"/>
        </w:numPr>
      </w:pPr>
      <w:r>
        <w:t xml:space="preserve">Harnesses and raw output are committed under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so that any figure can be reproduced</w:t>
      </w:r>
    </w:p>
    <w:p>
      <w:pPr>
        <w:pStyle w:val="Compact"/>
        <w:numPr>
          <w:ilvl w:val="0"/>
          <w:numId w:val="1001"/>
        </w:numPr>
      </w:pPr>
      <w:r>
        <w:t xml:space="preserve">A partial spike is reported as partial. Unmeasured candidates are listed as unmeasured rather than</w:t>
      </w:r>
      <w:r>
        <w:t xml:space="preserve"> </w:t>
      </w:r>
      <w:r>
        <w:t xml:space="preserve">omitted</w:t>
      </w:r>
    </w:p>
    <w:p>
      <w:pPr>
        <w:pStyle w:val="Compact"/>
        <w:numPr>
          <w:ilvl w:val="0"/>
          <w:numId w:val="1001"/>
        </w:numPr>
      </w:pPr>
      <w:r>
        <w:t xml:space="preserve">Recommendations arising from a small sample are marked provisional and do not become decisions</w:t>
      </w:r>
      <w:r>
        <w:t xml:space="preserve"> </w:t>
      </w:r>
      <w:r>
        <w:t xml:space="preserve">until confirmed</w:t>
      </w:r>
    </w:p>
    <w:bookmarkEnd w:id="12"/>
    <w:bookmarkEnd w:id="13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dr/0005-embedding-model-and-vector-dimension.md" TargetMode="External" /><Relationship Type="http://schemas.openxmlformats.org/officeDocument/2006/relationships/hyperlink" Id="rId9" Target="2026-09-07-model-sele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dr/0005-embedding-model-and-vector-dimension.md" TargetMode="External" /><Relationship Type="http://schemas.openxmlformats.org/officeDocument/2006/relationships/hyperlink" Id="rId9" Target="2026-09-07-model-sele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2026-09-08T04:40:04Z</dcterms:created>
  <dcterms:modified xsi:type="dcterms:W3CDTF">2026-09-08T04:40:04Z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