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software-test-plan"/>
    <w:p>
      <w:pPr>
        <w:pStyle w:val="Heading1"/>
      </w:pPr>
      <w:r>
        <w:t xml:space="preserve">Software Test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29119-3:2021, clause 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e3d0fc0bea9a42ce7605565d0964033d7f6ee47"/>
    <w:p>
      <w:pPr>
        <w:pStyle w:val="Heading2"/>
      </w:pPr>
      <w:r>
        <w:t xml:space="preserve">1. Introduction</w:t>
      </w:r>
    </w:p>
    <w:bookmarkStart w:id="9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plan covers all verification and validation activity for the initial release of NOVA. It</w:t>
      </w:r>
      <w:r>
        <w:t xml:space="preserve"> </w:t>
      </w:r>
      <w:r>
        <w:t xml:space="preserve">addresses two distinct concerns which are deliberately kept separate: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testing</w:t>
            </w:r>
          </w:p>
        </w:tc>
        <w:tc>
          <w:tcPr/>
          <w:p>
            <w:pPr>
              <w:pStyle w:val="Compact"/>
            </w:pPr>
            <w:r>
              <w:t xml:space="preserve">Does the code behave as specified?</w:t>
            </w:r>
          </w:p>
        </w:tc>
        <w:tc>
          <w:tcPr/>
          <w:p>
            <w:pPr>
              <w:pStyle w:val="Compact"/>
            </w:pPr>
            <w:r>
              <w:t xml:space="preserve">Deterministic, pass or fail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evaluation</w:t>
            </w:r>
          </w:p>
        </w:tc>
        <w:tc>
          <w:tcPr/>
          <w:p>
            <w:pPr>
              <w:pStyle w:val="Compact"/>
            </w:pPr>
            <w:r>
              <w:t xml:space="preserve">Is the generated output of acceptable quality?</w:t>
            </w:r>
          </w:p>
        </w:tc>
        <w:tc>
          <w:tcPr/>
          <w:p>
            <w:pPr>
              <w:pStyle w:val="Compact"/>
            </w:pPr>
            <w:r>
              <w:t xml:space="preserve">Statistical, threshold-based</w:t>
            </w:r>
          </w:p>
        </w:tc>
        <w:tc>
          <w:tcPr/>
          <w:p>
            <w:pPr>
              <w:pStyle w:val="Compact"/>
            </w:pPr>
            <w:r>
              <w:t xml:space="preserve">On configuration change and on demand</w:t>
            </w:r>
          </w:p>
        </w:tc>
      </w:tr>
    </w:tbl>
    <w:p>
      <w:pPr>
        <w:pStyle w:val="BodyText"/>
      </w:pPr>
      <w:r>
        <w:t xml:space="preserve">Conflating the two produces an unstable pipeline and metrics that cannot be acted upon. Separation is</w:t>
      </w:r>
      <w:r>
        <w:t xml:space="preserve"> </w:t>
      </w:r>
      <w:r>
        <w:t xml:space="preserve">what permits the regression gate to be trusted. A gate that fails for reasons the engineer cannot</w:t>
      </w:r>
      <w:r>
        <w:t xml:space="preserve"> </w:t>
      </w:r>
      <w:r>
        <w:t xml:space="preserve">act upon is disabled in practice, and a disabled gate is worse than no gate because it presents as</w:t>
      </w:r>
      <w:r>
        <w:t xml:space="preserve"> </w:t>
      </w:r>
      <w:r>
        <w:t xml:space="preserve">protection.</w:t>
      </w:r>
    </w:p>
    <w:p>
      <w:pPr>
        <w:pStyle w:val="BodyText"/>
      </w:pPr>
      <w:r>
        <w:t xml:space="preserve">Out of scope: performance testing beyond the latency measurements defined in section 5.5; testing of</w:t>
      </w:r>
      <w:r>
        <w:t xml:space="preserve"> </w:t>
      </w:r>
      <w:r>
        <w:t xml:space="preserve">the inference runtime itself; testing of any post-initial-release capability.</w:t>
      </w:r>
    </w:p>
    <w:bookmarkEnd w:id="9"/>
    <w:bookmarkStart w:id="10" w:name="X73ec8a58acca179884be3e5d021328c4166a9a8"/>
    <w:p>
      <w:pPr>
        <w:pStyle w:val="Heading3"/>
      </w:pPr>
      <w:r>
        <w:t xml:space="preserve">1.2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</w:tbl>
    <w:bookmarkEnd w:id="10"/>
    <w:bookmarkStart w:id="12" w:name="X3cee9cfe29b73c10b97d342f0cd4fe4bda5549b"/>
    <w:p>
      <w:pPr>
        <w:pStyle w:val="Heading3"/>
      </w:pPr>
      <w:r>
        <w:t xml:space="preserve">1.3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11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2"/>
    <w:bookmarkEnd w:id="13"/>
    <w:bookmarkStart w:id="19" w:name="Xd8fdbd6b32d67e9d203f169c23d3e65a268d43d"/>
    <w:p>
      <w:pPr>
        <w:pStyle w:val="Heading2"/>
      </w:pPr>
      <w:r>
        <w:t xml:space="preserve">2. Context of the testing</w:t>
      </w:r>
    </w:p>
    <w:bookmarkStart w:id="14" w:name="X3426be8da4b9eb7e38603470ebadf5ee23fda6c"/>
    <w:p>
      <w:pPr>
        <w:pStyle w:val="Heading3"/>
      </w:pPr>
      <w:r>
        <w:t xml:space="preserve">2.1 Project</w:t>
      </w:r>
    </w:p>
    <w:p>
      <w:pPr>
        <w:pStyle w:val="FirstParagraph"/>
      </w:pPr>
      <w:r>
        <w:t xml:space="preserve">Single-engineer project, approximately 130 to 180 hours, delivered across seven milestones. Testing</w:t>
      </w:r>
      <w:r>
        <w:t xml:space="preserve"> </w:t>
      </w:r>
      <w:r>
        <w:t xml:space="preserve">is not a milestone; it is concurrent with implementation and gated in continuous integration.</w:t>
      </w:r>
    </w:p>
    <w:bookmarkEnd w:id="14"/>
    <w:bookmarkStart w:id="15" w:name="X56bc8f09da9f5eacb8e7f6de53bc14aa0653838"/>
    <w:p>
      <w:pPr>
        <w:pStyle w:val="Heading3"/>
      </w:pPr>
      <w:r>
        <w:t xml:space="preserve">2.2 Test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agent orchestration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subsystem: extraction, validation, storage, retrieval, lifecycle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 and migrations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On change, via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composition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</w:tbl>
    <w:bookmarkEnd w:id="15"/>
    <w:bookmarkStart w:id="16" w:name="X6bdbdbecdfc6369eb976707fca7b500ccda2966"/>
    <w:p>
      <w:pPr>
        <w:pStyle w:val="Heading3"/>
      </w:pPr>
      <w:r>
        <w:t xml:space="preserve">2.3 Test scope</w:t>
      </w:r>
    </w:p>
    <w:p>
      <w:pPr>
        <w:pStyle w:val="FirstParagraph"/>
      </w:pPr>
      <w:r>
        <w:rPr>
          <w:b/>
          <w:bCs/>
        </w:rPr>
        <w:t xml:space="preserve">Included.</w:t>
      </w:r>
      <w:r>
        <w:t xml:space="preserve"> </w:t>
      </w:r>
      <w:r>
        <w:t xml:space="preserve">All requirements of priority Must in NOVA-SRS-001. All quality scenarios QS-1 to QS-9</w:t>
      </w:r>
      <w:r>
        <w:t xml:space="preserve"> </w:t>
      </w:r>
      <w:r>
        <w:t xml:space="preserve">in NOVA-SAD-001. All threats T1 to T10 in NOVA-TM-001.</w:t>
      </w:r>
    </w:p>
    <w:p>
      <w:pPr>
        <w:pStyle w:val="BodyText"/>
      </w:pPr>
      <w:r>
        <w:rPr>
          <w:b/>
          <w:bCs/>
        </w:rPr>
        <w:t xml:space="preserve">Excluded, with rationale.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and stress testing</w:t>
            </w:r>
          </w:p>
        </w:tc>
        <w:tc>
          <w:tcPr/>
          <w:p>
            <w:pPr>
              <w:pStyle w:val="Compact"/>
            </w:pPr>
            <w:r>
              <w:t xml:space="preserve">Single user, single concurrent task. No meaningful load profile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testing across browsers</w:t>
            </w:r>
          </w:p>
        </w:tc>
        <w:tc>
          <w:tcPr/>
          <w:p>
            <w:pPr>
              <w:pStyle w:val="Compact"/>
            </w:pPr>
            <w:r>
              <w:t xml:space="preserve">One user, one browser. Stated as a limitation rather than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Localization testing</w:t>
            </w:r>
          </w:p>
        </w:tc>
        <w:tc>
          <w:tcPr/>
          <w:p>
            <w:pPr>
              <w:pStyle w:val="Compact"/>
            </w:pPr>
            <w:r>
              <w:t xml:space="preserve">Single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conformance audit</w:t>
            </w:r>
          </w:p>
        </w:tc>
        <w:tc>
          <w:tcPr/>
          <w:p>
            <w:pPr>
              <w:pStyle w:val="Compact"/>
            </w:pPr>
            <w:r>
              <w:t xml:space="preserve">Not claimed. Basic semantic markup and screen-reader-associated form errors are required by NFR, but no conformance level is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 internals</w:t>
            </w:r>
          </w:p>
        </w:tc>
        <w:tc>
          <w:tcPr/>
          <w:p>
            <w:pPr>
              <w:pStyle w:val="Compact"/>
            </w:pPr>
            <w:r>
              <w:t xml:space="preserve">Third-party dependency, addressed through contract tests at its boundary</w:t>
            </w:r>
          </w:p>
        </w:tc>
      </w:tr>
    </w:tbl>
    <w:bookmarkEnd w:id="16"/>
    <w:bookmarkStart w:id="17" w:name="X98fda37d101ed1c7262af8aed1e34f0be6d29eb"/>
    <w:p>
      <w:pPr>
        <w:pStyle w:val="Heading3"/>
      </w:pPr>
      <w:r>
        <w:t xml:space="preserve">2.4 Assumptions and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 or constraint</w:t>
            </w:r>
          </w:p>
        </w:tc>
        <w:tc>
          <w:tcPr/>
          <w:p>
            <w:pPr>
              <w:pStyle w:val="Compact"/>
            </w:pPr>
            <w:r>
              <w:t xml:space="preserve">Effect 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TA-1</w:t>
            </w:r>
          </w:p>
        </w:tc>
        <w:tc>
          <w:tcPr/>
          <w:p>
            <w:pPr>
              <w:pStyle w:val="Compact"/>
            </w:pPr>
            <w:r>
              <w:t xml:space="preserve">A fixed random seed renders local inference sufficiently reproducible</w:t>
            </w:r>
          </w:p>
        </w:tc>
        <w:tc>
          <w:tcPr/>
          <w:p>
            <w:pPr>
              <w:pStyle w:val="Compact"/>
            </w:pPr>
            <w:r>
              <w:t xml:space="preserve">If false, run-over-run comparison and the regression gate both become unreliable. Verified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TA-2</w:t>
            </w:r>
          </w:p>
        </w:tc>
        <w:tc>
          <w:tcPr/>
          <w:p>
            <w:pPr>
              <w:pStyle w:val="Compact"/>
            </w:pPr>
            <w:r>
              <w:t xml:space="preserve">Approximately 50 evaluation cases yield sufficient signal for gating</w:t>
            </w:r>
          </w:p>
        </w:tc>
        <w:tc>
          <w:tcPr/>
          <w:p>
            <w:pPr>
              <w:pStyle w:val="Compact"/>
            </w:pPr>
            <w:r>
              <w:t xml:space="preserve">If false, the dataset is enlarged. Thresholds are not loosened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TA-3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</w:t>
            </w:r>
          </w:p>
        </w:tc>
        <w:tc>
          <w:tcPr/>
          <w:p>
            <w:pPr>
              <w:pStyle w:val="Compact"/>
            </w:pPr>
            <w:r>
              <w:t xml:space="preserve">If false, the share of model-based review increases and the reliability caveat is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</w:t>
            </w:r>
          </w:p>
        </w:tc>
        <w:tc>
          <w:tcPr/>
          <w:p>
            <w:pPr>
              <w:pStyle w:val="Compact"/>
            </w:pPr>
            <w:r>
              <w:t xml:space="preserve">No external reviewer is available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can. The limitation is recorded, not concealed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</w:t>
            </w:r>
          </w:p>
        </w:tc>
        <w:tc>
          <w:tcPr/>
          <w:p>
            <w:pPr>
              <w:pStyle w:val="Compact"/>
            </w:pPr>
            <w:r>
              <w:t xml:space="preserve">Evaluation suite duration must remain within the continuous integration budget</w:t>
            </w:r>
          </w:p>
        </w:tc>
        <w:tc>
          <w:tcPr/>
          <w:p>
            <w:pPr>
              <w:pStyle w:val="Compact"/>
            </w:pPr>
            <w:r>
              <w:t xml:space="preserve">Constrains dataset size and the frequency of the expensive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TC-3</w:t>
            </w:r>
          </w:p>
        </w:tc>
        <w:tc>
          <w:tcPr/>
          <w:p>
            <w:pPr>
              <w:pStyle w:val="Compact"/>
            </w:pPr>
            <w:r>
              <w:t xml:space="preserve">Evaluation data is synthetic and open-source only</w:t>
            </w:r>
          </w:p>
        </w:tc>
        <w:tc>
          <w:tcPr/>
          <w:p>
            <w:pPr>
              <w:pStyle w:val="Compact"/>
            </w:pPr>
            <w:r>
              <w:t xml:space="preserve">The dataset is committable and reviewable</w:t>
            </w:r>
          </w:p>
        </w:tc>
      </w:tr>
    </w:tbl>
    <w:bookmarkEnd w:id="17"/>
    <w:bookmarkStart w:id="18" w:name="X5236026d80f64af3a5df48c22a07caddb3457de"/>
    <w:p>
      <w:pPr>
        <w:pStyle w:val="Heading3"/>
      </w:pPr>
      <w:r>
        <w:t xml:space="preserve">2.5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 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Defect detection, regression prevention, confidence to 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Evidence that quality control is enforced rather than asserted</w:t>
            </w:r>
          </w:p>
        </w:tc>
      </w:tr>
    </w:tbl>
    <w:bookmarkEnd w:id="18"/>
    <w:bookmarkEnd w:id="19"/>
    <w:bookmarkStart w:id="20" w:name="X9cf465e3ba02de5172510852d2bfb5aa6873734"/>
    <w:p>
      <w:pPr>
        <w:pStyle w:val="Heading2"/>
      </w:pPr>
      <w:r>
        <w:t xml:space="preserve">3. Testing communication</w:t>
      </w:r>
    </w:p>
    <w:p>
      <w:pPr>
        <w:pStyle w:val="FirstParagraph"/>
      </w:pPr>
      <w:r>
        <w:t xml:space="preserve">Single-engineer project. Defects are recorded as repository issues with a severity classification.</w:t>
      </w:r>
      <w:r>
        <w:t xml:space="preserve"> </w:t>
      </w:r>
      <w:r>
        <w:t xml:space="preserve">Continuous integration results are the primary communication channel. Evaluation run results are</w:t>
      </w:r>
      <w:r>
        <w:t xml:space="preserve"> </w:t>
      </w:r>
      <w:r>
        <w:t xml:space="preserve">persisted and trended over time.</w:t>
      </w:r>
    </w:p>
    <w:p>
      <w:pPr>
        <w:pStyle w:val="BodyText"/>
      </w:pPr>
      <w:r>
        <w:t xml:space="preserve">The manual exploratory session findings in section 6.2 are recorded as issues rather than corrected</w:t>
      </w:r>
      <w:r>
        <w:t xml:space="preserve"> </w:t>
      </w:r>
      <w:r>
        <w:t xml:space="preserve">silently, so that the record of systematic testing is itself an artifact.</w:t>
      </w:r>
    </w:p>
    <w:bookmarkEnd w:id="20"/>
    <w:bookmarkStart w:id="23" w:name="X50f467c472f09930582c8cb533642f8b5f74bdd"/>
    <w:p>
      <w:pPr>
        <w:pStyle w:val="Heading2"/>
      </w:pPr>
      <w:r>
        <w:t xml:space="preserve">4. Risk register</w:t>
      </w:r>
    </w:p>
    <w:bookmarkStart w:id="21" w:name="X152523a6da6856b9729c550b5f7fdfba0b7da2a"/>
    <w:p>
      <w:pPr>
        <w:pStyle w:val="Heading3"/>
      </w:pPr>
      <w:r>
        <w:t xml:space="preserve">4.1 Product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Mitigating test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PR-1</w:t>
            </w:r>
          </w:p>
        </w:tc>
        <w:tc>
          <w:tcPr/>
          <w:p>
            <w:pPr>
              <w:pStyle w:val="Compact"/>
            </w:pPr>
            <w:r>
              <w:t xml:space="preserve">Cross-tenant data disclosure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 from the first milestone in which memory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PR-2</w:t>
            </w:r>
          </w:p>
        </w:tc>
        <w:tc>
          <w:tcPr/>
          <w:p>
            <w:pPr>
              <w:pStyle w:val="Compact"/>
            </w:pPr>
            <w:r>
              <w:t xml:space="preserve">An injected instruction persists into stored memory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the extraction and confirmation path specifically, not only the generation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PR-3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PR-4</w:t>
            </w:r>
          </w:p>
        </w:tc>
        <w:tc>
          <w:tcPr/>
          <w:p>
            <w:pPr>
              <w:pStyle w:val="Compact"/>
            </w:pPr>
            <w:r>
              <w:t xml:space="preserve">A memory deletion does not take effect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both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PR-5</w:t>
            </w:r>
          </w:p>
        </w:tc>
        <w:tc>
          <w:tcPr/>
          <w:p>
            <w:pPr>
              <w:pStyle w:val="Compact"/>
            </w:pPr>
            <w:r>
              <w:t xml:space="preserve">A configuration change degrades output without detection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Regression gate demonstrated against a deliberately degraded prompt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PR-6</w:t>
            </w:r>
          </w:p>
        </w:tc>
        <w:tc>
          <w:tcPr/>
          <w:p>
            <w:pPr>
              <w:pStyle w:val="Compact"/>
            </w:pPr>
            <w:r>
              <w:t xml:space="preserve">Retrieval silently returns nothing and the system appears healthy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Explicit failure required on embedding unavailability.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PR-7</w:t>
            </w:r>
          </w:p>
        </w:tc>
        <w:tc>
          <w:tcPr/>
          <w:p>
            <w:pPr>
              <w:pStyle w:val="Compact"/>
            </w:pPr>
            <w:r>
              <w:t xml:space="preserve">A failed task leaves no diagnostic record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Trace completeness test executed against a deliberately failed task</w:t>
            </w:r>
          </w:p>
        </w:tc>
      </w:tr>
    </w:tbl>
    <w:bookmarkEnd w:id="21"/>
    <w:bookmarkStart w:id="22" w:name="Xaae305def7077adcf2a19f7dd6efa3579a68e33"/>
    <w:p>
      <w:pPr>
        <w:pStyle w:val="Heading3"/>
      </w:pPr>
      <w:r>
        <w:t xml:space="preserve">4.2 Project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Mitigating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PJ-1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before the dataset is required. Twenty cases already exist from the model selection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PJ-2</w:t>
            </w:r>
          </w:p>
        </w:tc>
        <w:tc>
          <w:tcPr/>
          <w:p>
            <w:pPr>
              <w:pStyle w:val="Compact"/>
            </w:pPr>
            <w:r>
              <w:t xml:space="preserve">Inference nondeterminism destabilizes the gate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PJ-3</w:t>
            </w:r>
          </w:p>
        </w:tc>
        <w:tc>
          <w:tcPr/>
          <w:p>
            <w:pPr>
              <w:pStyle w:val="Compact"/>
            </w:pPr>
            <w:r>
              <w:t xml:space="preserve">Test effort is displaced by feature work under schedule pressure</w:t>
            </w:r>
          </w:p>
        </w:tc>
        <w:tc>
          <w:tcPr/>
          <w:p>
            <w:pPr>
              <w:pStyle w:val="Compact"/>
            </w:pPr>
            <w:r>
              <w:t xml:space="preserve">Isolation tests and the regression gate are excluded from the pre-committed scope reduction order</w:t>
            </w:r>
          </w:p>
        </w:tc>
      </w:tr>
    </w:tbl>
    <w:bookmarkEnd w:id="22"/>
    <w:bookmarkEnd w:id="23"/>
    <w:bookmarkStart w:id="40" w:name="Xecc8de4a136687d79a6a166429700448ffc765e"/>
    <w:p>
      <w:pPr>
        <w:pStyle w:val="Heading2"/>
      </w:pPr>
      <w:r>
        <w:t xml:space="preserve">5. Test strategy</w:t>
      </w:r>
    </w:p>
    <w:bookmarkStart w:id="27" w:name="Xb9eca886a0fa3a8d603f1f579030552f6b10cc2"/>
    <w:p>
      <w:pPr>
        <w:pStyle w:val="Heading3"/>
      </w:pPr>
      <w:r>
        <w:t xml:space="preserve">5.1 Sub-processes</w:t>
      </w:r>
    </w:p>
    <w:p>
      <w:pPr>
        <w:pStyle w:val="FirstParagraph"/>
      </w:pPr>
      <w:r>
        <w:drawing>
          <wp:inline>
            <wp:extent cx="5943600" cy="525389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Users/laxmi/AppData/Local/Temp/nova-docs-673141bd/test-plan-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Verify logic in isolation</w:t>
            </w:r>
          </w:p>
        </w:tc>
        <w:tc>
          <w:tcPr/>
          <w:p>
            <w:pPr>
              <w:pStyle w:val="Compact"/>
            </w:pPr>
            <w:r>
              <w:t xml:space="preserve">Component implemented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Verify component interaction and persistence</w:t>
            </w:r>
          </w:p>
        </w:tc>
        <w:tc>
          <w:tcPr/>
          <w:p>
            <w:pPr>
              <w:pStyle w:val="Compact"/>
            </w:pPr>
            <w:r>
              <w:t xml:space="preserve">Unit tests passing, schema migrated</w:t>
            </w:r>
          </w:p>
        </w:tc>
        <w:tc>
          <w:tcPr/>
          <w:p>
            <w:pPr>
              <w:pStyle w:val="Compact"/>
            </w:pPr>
            <w:r>
              <w:t xml:space="preserve">All pass against a real datastore and a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Verify the primary user journey through the interface</w:t>
            </w:r>
          </w:p>
        </w:tc>
        <w:tc>
          <w:tcPr/>
          <w:p>
            <w:pPr>
              <w:pStyle w:val="Compact"/>
            </w:pPr>
            <w:r>
              <w:t xml:space="preserve">Integration passing</w:t>
            </w:r>
          </w:p>
        </w:tc>
        <w:tc>
          <w:tcPr/>
          <w:p>
            <w:pPr>
              <w:pStyle w:val="Compact"/>
            </w:pPr>
            <w:r>
              <w:t xml:space="preserve">The golden path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Verify security properties</w:t>
            </w:r>
          </w:p>
        </w:tc>
        <w:tc>
          <w:tcPr/>
          <w:p>
            <w:pPr>
              <w:pStyle w:val="Compact"/>
            </w:pPr>
            <w:r>
              <w:t xml:space="preserve">Memory subsystem present</w:t>
            </w:r>
          </w:p>
        </w:tc>
        <w:tc>
          <w:tcPr/>
          <w:p>
            <w:pPr>
              <w:pStyle w:val="Compact"/>
            </w:pPr>
            <w:r>
              <w:t xml:space="preserve">Zero failures.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Quantify output quality and detect regression</w:t>
            </w:r>
          </w:p>
        </w:tc>
        <w:tc>
          <w:tcPr/>
          <w:p>
            <w:pPr>
              <w:pStyle w:val="Compact"/>
            </w:pPr>
            <w:r>
              <w:t xml:space="preserve">Dataset versioned, baseline established</w:t>
            </w:r>
          </w:p>
        </w:tc>
        <w:tc>
          <w:tcPr/>
          <w:p>
            <w:pPr>
              <w:pStyle w:val="Compact"/>
            </w:pPr>
            <w:r>
              <w:t xml:space="preserve">No gate metric below its threshold</w:t>
            </w:r>
          </w:p>
        </w:tc>
      </w:tr>
    </w:tbl>
    <w:bookmarkEnd w:id="27"/>
    <w:bookmarkStart w:id="28" w:name="X48e7f527c94062a04daed6e70d7dc197637819b"/>
    <w:p>
      <w:pPr>
        <w:pStyle w:val="Heading3"/>
      </w:pPr>
      <w:r>
        <w:t xml:space="preserve">5.2 Test design techniques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Equivalence partitioning and boundary value analysis</w:t>
            </w:r>
          </w:p>
        </w:tc>
        <w:tc>
          <w:tcPr/>
          <w:p>
            <w:pPr>
              <w:pStyle w:val="Compact"/>
            </w:pPr>
            <w:r>
              <w:t xml:space="preserve">Requirement length limits, score clamping bounds, exploration rate bounds, confidence floors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transition testing</w:t>
            </w:r>
          </w:p>
        </w:tc>
        <w:tc>
          <w:tcPr/>
          <w:p>
            <w:pPr>
              <w:pStyle w:val="Compact"/>
            </w:pPr>
            <w:r>
              <w:t xml:space="preserve">Task state machine, memory lifecycle, configuration version states, job lease and reclamation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table testing</w:t>
            </w:r>
          </w:p>
        </w:tc>
        <w:tc>
          <w:tcPr/>
          <w:p>
            <w:pPr>
              <w:pStyle w:val="Compact"/>
            </w:pPr>
            <w:r>
              <w:t xml:space="preserve">Feedback normalization across event types; retrieval inclusion given scope, tenant, pin,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guessing and exploratory testing</w:t>
            </w:r>
          </w:p>
        </w:tc>
        <w:tc>
          <w:tcPr/>
          <w:p>
            <w:pPr>
              <w:pStyle w:val="Compact"/>
            </w:pPr>
            <w:r>
              <w:t xml:space="preserve">Manual charter sessions, 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 injection</w:t>
            </w:r>
          </w:p>
        </w:tc>
        <w:tc>
          <w:tcPr/>
          <w:p>
            <w:pPr>
              <w:pStyle w:val="Compact"/>
            </w:pPr>
            <w:r>
              <w:t xml:space="preserve">Worker termination mid-task, inference provider unavailability, datastore unavailability, poison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testing</w:t>
            </w:r>
          </w:p>
        </w:tc>
        <w:tc>
          <w:tcPr/>
          <w:p>
            <w:pPr>
              <w:pStyle w:val="Compact"/>
            </w:pPr>
            <w:r>
              <w:t xml:space="preserve">Injection, privilege and isolation, feedback poisoning, output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testing</w:t>
            </w:r>
          </w:p>
        </w:tc>
        <w:tc>
          <w:tcPr/>
          <w:p>
            <w:pPr>
              <w:pStyle w:val="Compact"/>
            </w:pPr>
            <w:r>
              <w:t xml:space="preserve">Interface description drift; both inference provider implementations against a shared suite</w:t>
            </w:r>
          </w:p>
        </w:tc>
      </w:tr>
    </w:tbl>
    <w:p>
      <w:pPr>
        <w:pStyle w:val="BodyText"/>
      </w:pPr>
      <w:r>
        <w:t xml:space="preserve">Unit testing is where coverage is measured, because it is where the logic resides. The scoring</w:t>
      </w:r>
      <w:r>
        <w:t xml:space="preserve"> </w:t>
      </w:r>
      <w:r>
        <w:t xml:space="preserve">functions written for the model selection spike already carry an assertion-based self-test,</w:t>
      </w:r>
      <w:r>
        <w:t xml:space="preserve"> </w:t>
      </w:r>
      <w:r>
        <w:t xml:space="preserve">established before those functions were trusted with real output.</w:t>
      </w:r>
    </w:p>
    <w:p>
      <w:pPr>
        <w:pStyle w:val="BodyText"/>
      </w:pPr>
      <w:r>
        <w:t xml:space="preserve">Integration testing uses a fake inference provider deliberately. These tests exist to verify wiring</w:t>
      </w:r>
      <w:r>
        <w:t xml:space="preserve"> </w:t>
      </w:r>
      <w:r>
        <w:t xml:space="preserve">and must therefore be fast and deterministic. Model behaviour belongs to the evaluation</w:t>
      </w:r>
      <w:r>
        <w:t xml:space="preserve"> </w:t>
      </w:r>
      <w:r>
        <w:t xml:space="preserve">sub-process. Combining the two yields a slow suite failing for reasons that cannot be acted upon.</w:t>
      </w:r>
    </w:p>
    <w:p>
      <w:pPr>
        <w:pStyle w:val="BodyText"/>
      </w:pPr>
      <w:r>
        <w:t xml:space="preserve">End-to-end testing is confined to a single path. Such tests are expensive to maintain and the</w:t>
      </w:r>
      <w:r>
        <w:t xml:space="preserve"> </w:t>
      </w:r>
      <w:r>
        <w:t xml:space="preserve">product is a single-user local application.</w:t>
      </w:r>
    </w:p>
    <w:bookmarkEnd w:id="28"/>
    <w:bookmarkStart w:id="29" w:name="Xfd0b5a5ec9c0c24ae90831e92ab0905c9fb3f9f"/>
    <w:p>
      <w:pPr>
        <w:pStyle w:val="Heading3"/>
      </w:pPr>
      <w:r>
        <w:t xml:space="preserve">5.3 Test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Versioned by content hash,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definitions</w:t>
            </w:r>
          </w:p>
        </w:tc>
        <w:tc>
          <w:tcPr/>
          <w:p>
            <w:pPr>
              <w:pStyle w:val="Compact"/>
            </w:pPr>
            <w:r>
              <w:t xml:space="preserve">Declarative configuration,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 records</w:t>
            </w:r>
          </w:p>
        </w:tc>
        <w:tc>
          <w:tcPr/>
          <w:p>
            <w:pPr>
              <w:pStyle w:val="Compact"/>
            </w:pPr>
            <w:r>
              <w:t xml:space="preserve">Persisted rows with per-metric aggregates and a gate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records</w:t>
            </w:r>
          </w:p>
        </w:tc>
        <w:tc>
          <w:tcPr/>
          <w:p>
            <w:pPr>
              <w:pStyle w:val="Compact"/>
            </w:pPr>
            <w:r>
              <w:t xml:space="preserve">Repository issues with 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 session notes</w:t>
            </w:r>
          </w:p>
        </w:tc>
        <w:tc>
          <w:tcPr/>
          <w:p>
            <w:pPr>
              <w:pStyle w:val="Compact"/>
            </w:pPr>
            <w:r>
              <w:t xml:space="preserve">Repository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plan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</w:tbl>
    <w:bookmarkEnd w:id="29"/>
    <w:bookmarkStart w:id="30" w:name="Xaf20743c40baefdf21824113645c0245fc4e964"/>
    <w:p>
      <w:pPr>
        <w:pStyle w:val="Heading3"/>
      </w:pPr>
      <w:r>
        <w:t xml:space="preserve">5.4 Test data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Approximately 50 cases, stratified across the four requirement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Approximately 30 hand-authored, approximately 20 derived from open-source issue trackers and public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per case</w:t>
            </w:r>
          </w:p>
        </w:tc>
        <w:tc>
          <w:tcPr/>
          <w:p>
            <w:pPr>
              <w:pStyle w:val="Compact"/>
            </w:pPr>
            <w:r>
              <w:t xml:space="preserve">Requirement text, requirement type, expected properties (required case types, enumerated acceptance criteria, must-not-contain assertions), and labelled relevant memories for retrieval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portion</w:t>
            </w:r>
          </w:p>
        </w:tc>
        <w:tc>
          <w:tcPr/>
          <w:p>
            <w:pPr>
              <w:pStyle w:val="Compact"/>
            </w:pPr>
            <w:r>
              <w:t xml:space="preserve">A reserved subset never used for prompt tuning, so that the evaluation set does not become a tuning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Content hash. Any edit produces a new version. Comparison across versions is refused by the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Synthetic and open-source only. Committable and reviewable</w:t>
            </w:r>
          </w:p>
        </w:tc>
      </w:tr>
    </w:tbl>
    <w:p>
      <w:pPr>
        <w:pStyle w:val="BodyText"/>
      </w:pPr>
      <w:r>
        <w:t xml:space="preserve">Twenty cases already exist, produced for the model selection spike, five per requirement type, each</w:t>
      </w:r>
      <w:r>
        <w:t xml:space="preserve"> </w:t>
      </w:r>
      <w:r>
        <w:t xml:space="preserve">with four machine-checkable acceptance criteria. They transfer directly and remove approximately one</w:t>
      </w:r>
      <w:r>
        <w:t xml:space="preserve"> </w:t>
      </w:r>
      <w:r>
        <w:t xml:space="preserve">third of the authoring effort.</w:t>
      </w:r>
    </w:p>
    <w:p>
      <w:pPr>
        <w:pStyle w:val="BodyText"/>
      </w:pPr>
      <w:r>
        <w:t xml:space="preserve">The hand-authored majority is deliberate. Derived cases contribute realism, but only hand-authored</w:t>
      </w:r>
      <w:r>
        <w:t xml:space="preserve"> </w:t>
      </w:r>
      <w:r>
        <w:t xml:space="preserve">cases permit expected properties to be stated precisely enough for deterministic scoring. Where a</w:t>
      </w:r>
      <w:r>
        <w:t xml:space="preserve"> </w:t>
      </w:r>
      <w:r>
        <w:t xml:space="preserve">metric must carry meaning, precision is worth more than realism.</w:t>
      </w:r>
    </w:p>
    <w:bookmarkEnd w:id="30"/>
    <w:bookmarkStart w:id="31" w:name="X4a7cf6a1c7053f87fa99a743fab49886910a5f2"/>
    <w:p>
      <w:pPr>
        <w:pStyle w:val="Heading3"/>
      </w:pPr>
      <w:r>
        <w:t xml:space="preserve">5.5 Metrics to be collected</w:t>
      </w:r>
    </w:p>
    <w:p>
      <w:pPr>
        <w:pStyle w:val="FirstParagraph"/>
      </w:pPr>
      <w:r>
        <w:t xml:space="preserve">Each metric carries a definition, a collection method, a threshold, and a stated limitation. No</w:t>
      </w:r>
      <w:r>
        <w:t xml:space="preserve"> </w:t>
      </w:r>
      <w:r>
        <w:t xml:space="preserve">measured value exists for most. Every threshold below is provisional.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Task success rate</w:t>
            </w:r>
          </w:p>
        </w:tc>
        <w:tc>
          <w:tcPr/>
          <w:p>
            <w:pPr>
              <w:pStyle w:val="Compact"/>
            </w:pPr>
            <w:r>
              <w:t xml:space="preserve">completed Ã· (total âˆ’ user cancelled)</w:t>
            </w:r>
          </w:p>
        </w:tc>
        <w:tc>
          <w:tcPr/>
          <w:p>
            <w:pPr>
              <w:pStyle w:val="Compact"/>
            </w:pPr>
            <w:r>
              <w:t xml:space="preserve">â‰¥95%</w:t>
            </w:r>
          </w:p>
        </w:tc>
        <w:tc>
          <w:tcPr/>
          <w:p>
            <w:pPr>
              <w:pStyle w:val="Compact"/>
            </w:pPr>
            <w:r>
              <w:t xml:space="preserve">Carries no quality information. A completed poor plan counts as success. Not to be quoted as a quality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Structured output validity</w:t>
            </w:r>
          </w:p>
        </w:tc>
        <w:tc>
          <w:tcPr/>
          <w:p>
            <w:pPr>
              <w:pStyle w:val="Compact"/>
            </w:pPr>
            <w:r>
              <w:t xml:space="preserve">valid on first attempt Ã· total generations. Also reported after repair</w:t>
            </w:r>
          </w:p>
        </w:tc>
        <w:tc>
          <w:tcPr/>
          <w:p>
            <w:pPr>
              <w:pStyle w:val="Compact"/>
            </w:pPr>
            <w:r>
              <w:t xml:space="preserve">â‰¥98% first attempt</w:t>
            </w:r>
          </w:p>
        </w:tc>
        <w:tc>
          <w:tcPr/>
          <w:p>
            <w:pPr>
              <w:pStyle w:val="Compact"/>
            </w:pPr>
            <w:r>
              <w:t xml:space="preserve">Measures structure only. Observed 12 of 12 over a 12-generation sample, which is far too small to establish a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Acceptance criteria coverage</w:t>
            </w:r>
          </w:p>
        </w:tc>
        <w:tc>
          <w:tcPr/>
          <w:p>
            <w:pPr>
              <w:pStyle w:val="Compact"/>
            </w:pPr>
            <w:r>
              <w:t xml:space="preserve">criteria with at least one linked case Ã· total criteria</w:t>
            </w:r>
          </w:p>
        </w:tc>
        <w:tc>
          <w:tcPr/>
          <w:p>
            <w:pPr>
              <w:pStyle w:val="Compact"/>
            </w:pPr>
            <w:r>
              <w:t xml:space="preserve">â‰¥90%</w:t>
            </w:r>
          </w:p>
        </w:tc>
        <w:tc>
          <w:tcPr/>
          <w:p>
            <w:pPr>
              <w:pStyle w:val="Compact"/>
            </w:pPr>
            <w:r>
              <w:t xml:space="preserve">Requires machine-parseable criteria. Relies on the model's own linking, so it is an upper 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Required case type presence</w:t>
            </w:r>
          </w:p>
        </w:tc>
        <w:tc>
          <w:tcPr/>
          <w:p>
            <w:pPr>
              <w:pStyle w:val="Compact"/>
            </w:pPr>
            <w:r>
              <w:t xml:space="preserve">mean over plans of types present Ã· types required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Relies on the model's own case type labelling. A mislabelled case inflates the figure. Periodic manual audit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Duplicate case rate</w:t>
            </w:r>
          </w:p>
        </w:tc>
        <w:tc>
          <w:tcPr/>
          <w:p>
            <w:pPr>
              <w:pStyle w:val="Compact"/>
            </w:pPr>
            <w:r>
              <w:t xml:space="preserve">cases exceeding within-plan cosine similarity Î¸ Ã· total cases</w:t>
            </w:r>
          </w:p>
        </w:tc>
        <w:tc>
          <w:tcPr/>
          <w:p>
            <w:pPr>
              <w:pStyle w:val="Compact"/>
            </w:pPr>
            <w:r>
              <w:t xml:space="preserve">â‰¤10%</w:t>
            </w:r>
          </w:p>
        </w:tc>
        <w:tc>
          <w:tcPr/>
          <w:p>
            <w:pPr>
              <w:pStyle w:val="Compact"/>
            </w:pPr>
            <w:r>
              <w:t xml:space="preserve">Î¸ is arbitrary and must be fixed and documented. Legitimately similar cases may be 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  <w:tc>
          <w:tcPr/>
          <w:p>
            <w:pPr>
              <w:pStyle w:val="Compact"/>
            </w:pPr>
            <w:r>
              <w:t xml:space="preserve">confirmed corrections recurring as errors on later structurally similar tasks Ã· total confirmed corrections</w:t>
            </w:r>
          </w:p>
        </w:tc>
        <w:tc>
          <w:tcPr/>
          <w:p>
            <w:pPr>
              <w:pStyle w:val="Compact"/>
            </w:pPr>
            <w:r>
              <w:t xml:space="preserve">â‰¤20%</w:t>
            </w:r>
          </w:p>
        </w:tc>
        <w:tc>
          <w:tcPr/>
          <w:p>
            <w:pPr>
              <w:pStyle w:val="Compact"/>
            </w:pPr>
            <w:r>
              <w:t xml:space="preserve">Wholly dependent on the structural similarity threshold. Cannot distinguish a memory retrieved and disregarded from one never retrieved. Always reported alongside 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Retrieval precision and recall at 5</w:t>
            </w:r>
          </w:p>
        </w:tc>
        <w:tc>
          <w:tcPr/>
          <w:p>
            <w:pPr>
              <w:pStyle w:val="Compact"/>
            </w:pPr>
            <w:r>
              <w:t xml:space="preserve">against the labelled relevance set</w:t>
            </w:r>
          </w:p>
        </w:tc>
        <w:tc>
          <w:tcPr/>
          <w:p>
            <w:pPr>
              <w:pStyle w:val="Compact"/>
            </w:pPr>
            <w:r>
              <w:t xml:space="preserve">â‰¥70% / â‰¥60%</w:t>
            </w:r>
          </w:p>
        </w:tc>
        <w:tc>
          <w:tcPr/>
          <w:p>
            <w:pPr>
              <w:pStyle w:val="Compact"/>
            </w:pPr>
            <w:r>
              <w:t xml:space="preserve">Labels represent one engineer's judgment over a small set. Relevance is partly subjective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Evaluation pass rate</w:t>
            </w:r>
          </w:p>
        </w:tc>
        <w:tc>
          <w:tcPr/>
          <w:p>
            <w:pPr>
              <w:pStyle w:val="Compact"/>
            </w:pPr>
            <w:r>
              <w:t xml:space="preserve">cases passing every gate Ã· total cases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Bounded by dataset breadth. A narrow dataset yields a flattering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Provider call failure rate</w:t>
            </w:r>
          </w:p>
        </w:tc>
        <w:tc>
          <w:tcPr/>
          <w:p>
            <w:pPr>
              <w:pStyle w:val="Compact"/>
            </w:pPr>
            <w:r>
              <w:t xml:space="preserve">failed calls Ã· total calls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Local failures are predominantly environmental, so this tracks environment health more than code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Latency percentiles</w:t>
            </w:r>
          </w:p>
        </w:tc>
        <w:tc>
          <w:tcPr/>
          <w:p>
            <w:pPr>
              <w:pStyle w:val="Compact"/>
            </w:pPr>
            <w:r>
              <w:t xml:space="preserve">50th, 95th, 99th, end to end and per step</w:t>
            </w:r>
          </w:p>
        </w:tc>
        <w:tc>
          <w:tcPr/>
          <w:p>
            <w:pPr>
              <w:pStyle w:val="Compact"/>
            </w:pPr>
            <w:r>
              <w:t xml:space="preserve">Set from data</w:t>
            </w:r>
          </w:p>
        </w:tc>
        <w:tc>
          <w:tcPr/>
          <w:p>
            <w:pPr>
              <w:pStyle w:val="Compact"/>
            </w:pPr>
            <w:r>
              <w:t xml:space="preserve">Meaningless without stating GPU, model, and quantization. Cold model load reported separately: one measurement showed 115 s cold against 18 to 21 s warm for the same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Resource cost per task</w:t>
            </w:r>
          </w:p>
        </w:tc>
        <w:tc>
          <w:tcPr/>
          <w:p>
            <w:pPr>
              <w:pStyle w:val="Compact"/>
            </w:pPr>
            <w:r>
              <w:t xml:space="preserve">tokens and elapsed time locally; billed cost for hosted providers</w:t>
            </w:r>
          </w:p>
        </w:tc>
        <w:tc>
          <w:tcPr/>
          <w:p>
            <w:pPr>
              <w:pStyle w:val="Compact"/>
            </w:pPr>
            <w:r>
              <w:t xml:space="preserve">Not applicable locally</w:t>
            </w:r>
          </w:p>
        </w:tc>
        <w:tc>
          <w:tcPr/>
          <w:p>
            <w:pPr>
              <w:pStyle w:val="Compact"/>
            </w:pPr>
            <w:r>
              <w:t xml:space="preserve">Local inference carries no marginal token cost. A monetary figure would be 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Regression rate</w:t>
            </w:r>
          </w:p>
        </w:tc>
        <w:tc>
          <w:tcPr/>
          <w:p>
            <w:pPr>
              <w:pStyle w:val="Compact"/>
            </w:pPr>
            <w:r>
              <w:t xml:space="preserve">cases passing in run Nâˆ’1 and failing in run N Ã· cases passing in run Nâˆ’1</w:t>
            </w:r>
          </w:p>
        </w:tc>
        <w:tc>
          <w:tcPr/>
          <w:p>
            <w:pPr>
              <w:pStyle w:val="Compact"/>
            </w:pPr>
            <w:r>
              <w:t xml:space="preserve">â‰¤5%</w:t>
            </w:r>
          </w:p>
        </w:tc>
        <w:tc>
          <w:tcPr/>
          <w:p>
            <w:pPr>
              <w:pStyle w:val="Compact"/>
            </w:pPr>
            <w:r>
              <w:t xml:space="preserve">Comparable only within a dataset version. Sensitive to nondeterminism, mitigated by a fixed seed, with residual variance measured before thresholds are set</w:t>
            </w:r>
          </w:p>
        </w:tc>
      </w:tr>
    </w:tbl>
    <w:p>
      <w:pPr>
        <w:pStyle w:val="BodyText"/>
      </w:pPr>
      <w:r>
        <w:t xml:space="preserve">M6 is the primary metric. It renders the project's central claim falsifiable and is reported</w:t>
      </w:r>
      <w:r>
        <w:t xml:space="preserve"> </w:t>
      </w:r>
      <w:r>
        <w:t xml:space="preserve">including any run in which it deteriorates.</w:t>
      </w:r>
    </w:p>
    <w:bookmarkEnd w:id="31"/>
    <w:bookmarkStart w:id="32" w:name="X10d7d6b06e7de407719fcd3159d7c16003c4802"/>
    <w:p>
      <w:pPr>
        <w:pStyle w:val="Heading3"/>
      </w:pPr>
      <w:r>
        <w:t xml:space="preserve">5.6 Test completion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Completion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All pass, including worker termination, lease reclamation, poison job, and failed-task trace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The golden path completes through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Zero failures. Cross-tenant isolation 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No gate metric below threshold. M6 measured across at least two runs on a fixed dataset version</w:t>
            </w:r>
          </w:p>
        </w:tc>
      </w:tr>
    </w:tbl>
    <w:p>
      <w:pPr>
        <w:pStyle w:val="BodyText"/>
      </w:pPr>
      <w:r>
        <w:t xml:space="preserve">Release acceptance additionally requires: a deliberately degraded prompt version demonstrably blocked</w:t>
      </w:r>
      <w:r>
        <w:t xml:space="preserve"> </w:t>
      </w:r>
      <w:r>
        <w:t xml:space="preserve">by the gate; deployment from a clean checkout on a separate host; and a completed restore drill.</w:t>
      </w:r>
    </w:p>
    <w:bookmarkEnd w:id="32"/>
    <w:bookmarkStart w:id="33" w:name="X26a20c271e76ca3d9fcfa05680e264d61679509"/>
    <w:p>
      <w:pPr>
        <w:pStyle w:val="Heading3"/>
      </w:pPr>
      <w:r>
        <w:t xml:space="preserve">5.7 Test environment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Local. Real datastore in a container,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Ephemeral datastore container. Fake provider for integration; pinned real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Pinned model version, fixed seed,</w:t>
            </w:r>
            <w:r>
              <w:t xml:space="preserve"> </w:t>
            </w:r>
            <w:r>
              <w:rPr>
                <w:b/>
                <w:bCs/>
              </w:rPr>
              <w:t xml:space="preserve">separate datastore instance</w:t>
            </w:r>
            <w:r>
              <w:t xml:space="preserve">. The evaluation harness must never share a datastore with a working instance</w:t>
            </w:r>
          </w:p>
        </w:tc>
      </w:tr>
    </w:tbl>
    <w:p>
      <w:pPr>
        <w:pStyle w:val="BodyText"/>
      </w:pPr>
      <w:r>
        <w:t xml:space="preserve">The reference configuration for every timing measurement is: NVIDIA RTX 4050 Laptop, 6 GB VRAM,</w:t>
      </w:r>
      <w:r>
        <w:t xml:space="preserve"> </w:t>
      </w:r>
      <w:r>
        <w:t xml:space="preserve">4B-parameter model at 4-bit quantization, 8192-token context, inference runtime on the host.</w:t>
      </w:r>
      <w:r>
        <w:t xml:space="preserve"> </w:t>
      </w:r>
      <w:r>
        <w:t xml:space="preserve">Measurements are void without this qualification.</w:t>
      </w:r>
    </w:p>
    <w:bookmarkEnd w:id="33"/>
    <w:bookmarkStart w:id="38" w:name="Xe0f9b8cfd7c6730720929f4945015e4d5a8955b"/>
    <w:p>
      <w:pPr>
        <w:pStyle w:val="Heading3"/>
      </w:pPr>
      <w:r>
        <w:t xml:space="preserve">5.8 Retesting and regression testing</w:t>
      </w:r>
    </w:p>
    <w:p>
      <w:pPr>
        <w:pStyle w:val="FirstParagraph"/>
      </w:pPr>
      <w:r>
        <w:drawing>
          <wp:inline>
            <wp:extent cx="5943600" cy="7472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Users/laxmi/AppData/Local/Temp/nova-docs-673141bd/test-plan-1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7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suite, any failure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evaluation run</w:t>
            </w:r>
          </w:p>
        </w:tc>
        <w:tc>
          <w:tcPr/>
          <w:p>
            <w:pPr>
              <w:pStyle w:val="Compact"/>
            </w:pPr>
            <w:r>
              <w:t xml:space="preserve">Only where prompts, playbooks, or configuration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gate metric below threshold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expensive gate executes only where it can produce information. Thresholds derive from measured</w:t>
      </w:r>
      <w:r>
        <w:t xml:space="preserve"> </w:t>
      </w:r>
      <w:r>
        <w:t xml:space="preserve">variance rather than from intent; that measurement does not yet exist and is a prerequisite recorded</w:t>
      </w:r>
      <w:r>
        <w:t xml:space="preserve"> </w:t>
      </w:r>
      <w:r>
        <w:t xml:space="preserve">in</w:t>
      </w:r>
      <w:r>
        <w:t xml:space="preserve"> </w:t>
      </w:r>
      <w:hyperlink r:id="rId37">
        <w:r>
          <w:rPr>
            <w:rStyle w:val="Hyperlink"/>
          </w:rPr>
          <w:t xml:space="preserve">NOVA-SDP-001</w:t>
        </w:r>
      </w:hyperlink>
      <w:r>
        <w:t xml:space="preserve">.</w:t>
      </w:r>
    </w:p>
    <w:p>
      <w:pPr>
        <w:pStyle w:val="BodyText"/>
      </w:pPr>
      <w:r>
        <w:t xml:space="preserve">Every defect of severity S1 or S2 receives a failing test before the corrective change. For defects</w:t>
      </w:r>
      <w:r>
        <w:t xml:space="preserve"> </w:t>
      </w:r>
      <w:r>
        <w:t xml:space="preserve">of output quality, the regression test is a new evaluation case added to the dataset, which is how</w:t>
      </w:r>
      <w:r>
        <w:t xml:space="preserve"> </w:t>
      </w:r>
      <w:r>
        <w:t xml:space="preserve">the dataset accrues coverage rather than being authored once and left static.</w:t>
      </w:r>
    </w:p>
    <w:bookmarkEnd w:id="38"/>
    <w:bookmarkStart w:id="39" w:name="X356c39e70973024ba173acd92dcb1e474a45548"/>
    <w:p>
      <w:pPr>
        <w:pStyle w:val="Heading3"/>
      </w:pPr>
      <w:r>
        <w:t xml:space="preserve">5.9 Suspension and resumption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disclosure observed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gate observed to flap</w:t>
            </w:r>
          </w:p>
        </w:tc>
        <w:tc>
          <w:tcPr/>
          <w:p>
            <w:pPr>
              <w:pStyle w:val="Compact"/>
            </w:pPr>
            <w:r>
              <w:t xml:space="preserve">Suspend reliance on the gate. Measure variance, reset thresholds,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edited without a version increment</w:t>
            </w:r>
          </w:p>
        </w:tc>
        <w:tc>
          <w:tcPr/>
          <w:p>
            <w:pPr>
              <w:pStyle w:val="Compact"/>
            </w:pPr>
            <w:r>
              <w:t xml:space="preserve">Suspend trend reporting until the version is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environment altered</w:t>
            </w:r>
          </w:p>
        </w:tc>
        <w:tc>
          <w:tcPr/>
          <w:p>
            <w:pPr>
              <w:pStyle w:val="Compact"/>
            </w:pPr>
            <w:r>
              <w:t xml:space="preserve">Suspend cross-run comparison until a new baseline is established</w:t>
            </w:r>
          </w:p>
        </w:tc>
      </w:tr>
    </w:tbl>
    <w:bookmarkEnd w:id="39"/>
    <w:bookmarkEnd w:id="40"/>
    <w:bookmarkStart w:id="44" w:name="X156024f1f19e1406cee2c4d8ad8640f6459c894"/>
    <w:p>
      <w:pPr>
        <w:pStyle w:val="Heading2"/>
      </w:pPr>
      <w:r>
        <w:t xml:space="preserve">6. Testing activities and estimates</w:t>
      </w:r>
    </w:p>
    <w:bookmarkStart w:id="41" w:name="Xeba3d2b01def26f4ca6fe8bcbc2d225f7d6f260"/>
    <w:p>
      <w:pPr>
        <w:pStyle w:val="Heading3"/>
      </w:pPr>
      <w:r>
        <w:t xml:space="preserve">6.1 Automated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suites, developed alongside implementation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Included in feature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suite</w:t>
            </w:r>
          </w:p>
        </w:tc>
        <w:tc>
          <w:tcPr/>
          <w:p>
            <w:pPr>
              <w:pStyle w:val="Compact"/>
            </w:pPr>
            <w:r>
              <w:t xml:space="preserve">M2 to M3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suite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path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authoring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15 to 25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 and metric computation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10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suite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configuration and gating</w:t>
            </w:r>
          </w:p>
        </w:tc>
        <w:tc>
          <w:tcPr/>
          <w:p>
            <w:pPr>
              <w:pStyle w:val="Compact"/>
            </w:pPr>
            <w:r>
              <w:t xml:space="preserve">M2, M5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</w:tbl>
    <w:bookmarkEnd w:id="41"/>
    <w:bookmarkStart w:id="42" w:name="X4e7f1f432a1074f0666c6e5e78f8e23ab56fc0a"/>
    <w:p>
      <w:pPr>
        <w:pStyle w:val="Heading3"/>
      </w:pPr>
      <w:r>
        <w:t xml:space="preserve">6.2 Manual activity</w:t>
      </w:r>
    </w:p>
    <w:p>
      <w:pPr>
        <w:pStyle w:val="FirstParagraph"/>
      </w:pPr>
      <w:r>
        <w:t xml:space="preserve">Charter-based, time-boxed to approximately 60 minutes each. Automation does not detect everything.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Charter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 usage</w:t>
            </w:r>
          </w:p>
        </w:tc>
        <w:tc>
          <w:tcPr/>
          <w:p>
            <w:pPr>
              <w:pStyle w:val="Compact"/>
            </w:pPr>
            <w:r>
              <w:t xml:space="preserve">Operate NOVA on genuine requirements from personal work. Record every point of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Deliberately construct contradictory, overlapping, and nonsensical memories. Observe system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comprehension</w:t>
            </w:r>
          </w:p>
        </w:tc>
        <w:tc>
          <w:tcPr/>
          <w:p>
            <w:pPr>
              <w:pStyle w:val="Compact"/>
            </w:pPr>
            <w:r>
              <w:t xml:space="preserve">Present the trace viewer to a reader unfamiliar with the system. Determine whether they can explain what occurred. If they cannot, the observability provision is decorative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adversarial</w:t>
            </w:r>
          </w:p>
        </w:tc>
        <w:tc>
          <w:tcPr/>
          <w:p>
            <w:pPr>
              <w:pStyle w:val="Compact"/>
            </w:pPr>
            <w:r>
              <w:t xml:space="preserve">Attempt injections the automated suite does not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Fresh database. Assess whether a first-time experience is coherent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presentation</w:t>
            </w:r>
          </w:p>
        </w:tc>
        <w:tc>
          <w:tcPr/>
          <w:p>
            <w:pPr>
              <w:pStyle w:val="Compact"/>
            </w:pPr>
            <w:r>
              <w:t xml:space="preserve">Terminate the inference runtime mid-task. Assess whether the resulting error is actionable</w:t>
            </w:r>
          </w:p>
        </w:tc>
      </w:tr>
    </w:tbl>
    <w:bookmarkEnd w:id="42"/>
    <w:bookmarkStart w:id="43" w:name="X9df0598578882b0296d5778e113acb25955420b"/>
    <w:p>
      <w:pPr>
        <w:pStyle w:val="Heading3"/>
      </w:pPr>
      <w:r>
        <w:t xml:space="preserve">6.3 Production-like validation</w:t>
      </w:r>
    </w:p>
    <w:p>
      <w:pPr>
        <w:pStyle w:val="FirstParagraph"/>
      </w:pPr>
      <w:r>
        <w:t xml:space="preserve">No production environment exists. The nearest equivalents, described as such:</w:t>
      </w:r>
    </w:p>
    <w:p>
      <w:pPr>
        <w:pStyle w:val="Compact"/>
        <w:numPr>
          <w:ilvl w:val="0"/>
          <w:numId w:val="1001"/>
        </w:numPr>
      </w:pPr>
      <w:r>
        <w:t xml:space="preserve">Deployment from a clean checkout on a separate host or virtual machine, which detects the class of</w:t>
      </w:r>
      <w:r>
        <w:t xml:space="preserve"> </w:t>
      </w:r>
      <w:r>
        <w:t xml:space="preserve">defect that appears only in the absence of accumulated development-machine state</w:t>
      </w:r>
    </w:p>
    <w:p>
      <w:pPr>
        <w:pStyle w:val="Compact"/>
        <w:numPr>
          <w:ilvl w:val="0"/>
          <w:numId w:val="1001"/>
        </w:numPr>
      </w:pPr>
      <w:r>
        <w:t xml:space="preserve">Sustained run of at least 50 sequential tasks, monitoring memory growth, trace volume, and</w:t>
      </w:r>
      <w:r>
        <w:t xml:space="preserve"> </w:t>
      </w:r>
      <w:r>
        <w:t xml:space="preserve">retrieval degradation</w:t>
      </w:r>
    </w:p>
    <w:p>
      <w:pPr>
        <w:pStyle w:val="Compact"/>
        <w:numPr>
          <w:ilvl w:val="0"/>
          <w:numId w:val="1001"/>
        </w:numPr>
      </w:pPr>
      <w:r>
        <w:t xml:space="preserve">Restore drill from backup</w:t>
      </w:r>
    </w:p>
    <w:p>
      <w:pPr>
        <w:pStyle w:val="Compact"/>
        <w:numPr>
          <w:ilvl w:val="0"/>
          <w:numId w:val="1001"/>
        </w:numPr>
      </w:pPr>
      <w:r>
        <w:t xml:space="preserve">Reproducibility check: identical seed, model version, and configuration version yielding equivalent</w:t>
      </w:r>
      <w:r>
        <w:t xml:space="preserve"> </w:t>
      </w:r>
      <w:r>
        <w:t xml:space="preserve">output. Should this fail, every regression comparison is noise</w:t>
      </w:r>
    </w:p>
    <w:bookmarkEnd w:id="43"/>
    <w:bookmarkEnd w:id="44"/>
    <w:bookmarkStart w:id="45" w:name="X667876742109bc1fba03d8e0193bda9a9086409"/>
    <w:p>
      <w:pPr>
        <w:pStyle w:val="Heading2"/>
      </w:pPr>
      <w:r>
        <w:t xml:space="preserve">7. Staffing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This plan, gate definitions, threshold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designer and implementer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Suite construction, dataset authoring, scenario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executor</w:t>
            </w:r>
          </w:p>
        </w:tc>
        <w:tc>
          <w:tcPr/>
          <w:p>
            <w:pPr>
              <w:pStyle w:val="Compact"/>
            </w:pPr>
            <w:r>
              <w:t xml:space="preserve">Continuous integration, plus the engineer for manual charters</w:t>
            </w:r>
          </w:p>
        </w:tc>
        <w:tc>
          <w:tcPr/>
          <w:p>
            <w:pPr>
              <w:pStyle w:val="Compact"/>
            </w:pPr>
            <w:r>
              <w:t xml:space="preserve">Execution, result recording</w:t>
            </w:r>
          </w:p>
        </w:tc>
      </w:tr>
    </w:tbl>
    <w:p>
      <w:pPr>
        <w:pStyle w:val="BodyText"/>
      </w:pPr>
      <w:r>
        <w:t xml:space="preserve">No hiring or training need arises. The single-reviewer limitation is recorded as project risk PJ-3</w:t>
      </w:r>
      <w:r>
        <w:t xml:space="preserve"> </w:t>
      </w:r>
      <w:r>
        <w:t xml:space="preserve">and as constraint TC-1.</w:t>
      </w:r>
    </w:p>
    <w:bookmarkEnd w:id="45"/>
    <w:bookmarkStart w:id="46" w:name="X54e725f9a65c050dbc683b5865cc7e7d226abe4"/>
    <w:p>
      <w:pPr>
        <w:pStyle w:val="Heading2"/>
      </w:pPr>
      <w:r>
        <w:t xml:space="preserve">8.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Testing activity</w:t>
            </w:r>
          </w:p>
        </w:tc>
        <w:tc>
          <w:tcPr/>
          <w:p>
            <w:pPr>
              <w:pStyle w:val="Compact"/>
            </w:pPr>
            <w:r>
              <w:t xml:space="preserve">Gate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Spike harness self-test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Unit and integration suites, contract test, initial dataset cases</w:t>
            </w:r>
          </w:p>
        </w:tc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Isolation suite, deletion completeness, end-to-end path, extraction precision measurement</w:t>
            </w:r>
          </w:p>
        </w:tc>
        <w:tc>
          <w:tcPr/>
          <w:p>
            <w:pPr>
              <w:pStyle w:val="Compact"/>
            </w:pPr>
            <w:r>
              <w:t xml:space="preserve">Isolation, unconditional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determinism and poisoning scenarios</w:t>
            </w:r>
          </w:p>
        </w:tc>
        <w:tc>
          <w:tcPr/>
          <w:p>
            <w:pPr>
              <w:pStyle w:val="Compact"/>
            </w:pPr>
            <w:r>
              <w:t xml:space="preserve">Included in the adversarial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Full dataset, evaluation harness, adversarial suite, variance measurement, threshold setting</w:t>
            </w:r>
          </w:p>
        </w:tc>
        <w:tc>
          <w:tcPr/>
          <w:p>
            <w:pPr>
              <w:pStyle w:val="Compact"/>
            </w:pPr>
            <w:r>
              <w:t xml:space="preserve">Adversarial and evaluation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Fault injection for every degraded mode, soak run, restore drill, clean-checkout deployment</w:t>
            </w:r>
          </w:p>
        </w:tc>
        <w:tc>
          <w:tcPr/>
          <w:p>
            <w:pPr>
              <w:pStyle w:val="Compact"/>
            </w:pPr>
            <w:r>
              <w:t xml:space="preserve">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Documentation accuracy pass, tracing every stated claim to a test, metric, or decision record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6"/>
    <w:bookmarkStart w:id="47" w:name="Xda2a878d8b347d19c7dcf3bb00a4e2fed6c94e0"/>
    <w:p>
      <w:pPr>
        <w:pStyle w:val="Heading2"/>
      </w:pPr>
      <w:r>
        <w:t xml:space="preserve">9. Defect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Data loss, cross-tenant disclosure, unbounded resource consumption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Primary workflow inoperable</w:t>
            </w:r>
          </w:p>
        </w:tc>
        <w:tc>
          <w:tcPr/>
          <w:p>
            <w:pPr>
              <w:pStyle w:val="Compact"/>
            </w:pPr>
            <w:r>
              <w:t xml:space="preserve">Correct within the current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Degraded quality or confusing presentation</w:t>
            </w:r>
          </w:p>
        </w:tc>
        <w:tc>
          <w:tcPr/>
          <w:p>
            <w:pPr>
              <w:pStyle w:val="Compact"/>
            </w:pPr>
            <w:r>
              <w:t xml:space="preserve">Backlog with a recorded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Cosmetic</w:t>
            </w:r>
          </w:p>
        </w:tc>
        <w:tc>
          <w:tcPr/>
          <w:p>
            <w:pPr>
              <w:pStyle w:val="Compact"/>
            </w:pPr>
            <w:r>
              <w:t xml:space="preserve">Backlog. May remain uncorrected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48"/>
    <w:bookmarkEnd w:id="4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2026-09-10T04:30:38Z</dcterms:created>
  <dcterms:modified xsi:type="dcterms:W3CDTF">2026-09-10T04:30:38Z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