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4" w:name="spike-reports"/>
    <w:p>
      <w:pPr>
        <w:pStyle w:val="Heading1"/>
      </w:pPr>
      <w:r>
        <w:t xml:space="preserve">Spike reports</w:t>
      </w:r>
    </w:p>
    <w:p>
      <w:pPr>
        <w:pStyle w:val="FirstParagraph"/>
      </w:pPr>
      <w:r>
        <w:t xml:space="preserve">Time-boxed investigations run to resolve a specific uncertainty before it can affect design or</w:t>
      </w:r>
      <w:r>
        <w:t xml:space="preserve"> </w:t>
      </w:r>
      <w:r>
        <w:t xml:space="preserve">implementation. Each produces a report with a stated method, raw output, and limitations.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Spike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NOVA-SPK-001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Local model selection under a 6 GB VRAM ceiling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2026-09-07, completed 2026-09-08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gemma3:4b</w:t>
            </w:r>
            <w:r>
              <w:t xml:space="preserve">. 100 of 100 schema-conformant across five candidates, 17.3 s median, 2.9 GB fully GPU-resident. The 8B class spills a third onto the CPU for no quality 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NOVA-SPK-002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Embedding model and vector dimension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2026-09-08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embeddinggemma</w:t>
            </w:r>
            <w:r>
              <w:t xml:space="preserve"> </w:t>
            </w:r>
            <w:r>
              <w:t xml:space="preserve">at 768 dimensions. Leads every discriminating retrieval metric across five candidates, 77 ms warm, co-resident with the generation model inside 6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NOVA-SPK-003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Container-to-host inference reachability and datastore provisioning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2026-09-09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  <w:tc>
          <w:tcPr/>
          <w:p>
            <w:pPr>
              <w:pStyle w:val="Compact"/>
            </w:pPr>
            <w:r>
              <w:t xml:space="preserve">Both reachable without configuration. Docker Desktop's host proxy reaches a loopback-bound Ollama, so the anticipated binding change is unnecessary.</w:t>
            </w:r>
            <w:r>
              <w:t xml:space="preserve"> </w:t>
            </w:r>
            <w:r>
              <w:rPr>
                <w:rStyle w:val="VerbatimChar"/>
              </w:rPr>
              <w:t xml:space="preserve">vector(768)</w:t>
            </w:r>
            <w:r>
              <w:t xml:space="preserve"> </w:t>
            </w:r>
            <w:r>
              <w:t xml:space="preserve">indexes under HNSW and answers correctly</w:t>
            </w:r>
          </w:p>
        </w:tc>
      </w:tr>
    </w:tbl>
    <w:bookmarkStart w:id="12" w:name="planned"/>
    <w:p>
      <w:pPr>
        <w:pStyle w:val="Heading2"/>
      </w:pPr>
      <w:r>
        <w:t xml:space="preserve">Planned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Spike</w:t>
            </w:r>
          </w:p>
        </w:tc>
        <w:tc>
          <w:tcPr/>
          <w:p>
            <w:pPr>
              <w:pStyle w:val="Compact"/>
            </w:pPr>
            <w:r>
              <w:t xml:space="preserve">Resolves</w:t>
            </w:r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 lexical and vector ranking</w:t>
            </w:r>
          </w:p>
        </w:tc>
        <w:tc>
          <w:tcPr/>
          <w:p>
            <w:pPr>
              <w:pStyle w:val="Compact"/>
            </w:pPr>
            <w:r>
              <w:t xml:space="preserve">NOVA-SPK-002 follow-up 3</w:t>
            </w:r>
          </w:p>
        </w:tc>
        <w:tc>
          <w:tcPr/>
          <w:p>
            <w:pPr>
              <w:pStyle w:val="Compact"/>
            </w:pPr>
            <w:r>
              <w:t xml:space="preserve">No. Deferred until authentic corrections exist</w:t>
            </w:r>
          </w:p>
        </w:tc>
      </w:tr>
    </w:tbl>
    <w:bookmarkEnd w:id="12"/>
    <w:bookmarkStart w:id="13" w:name="conventions"/>
    <w:p>
      <w:pPr>
        <w:pStyle w:val="Heading2"/>
      </w:pPr>
      <w:r>
        <w:t xml:space="preserve">Conventions</w:t>
      </w:r>
    </w:p>
    <w:p>
      <w:pPr>
        <w:pStyle w:val="Compact"/>
        <w:numPr>
          <w:ilvl w:val="0"/>
          <w:numId w:val="1001"/>
        </w:numPr>
      </w:pPr>
      <w:r>
        <w:t xml:space="preserve">A spike is time-boxed before it starts. Exceeding the box is itself a finding</w:t>
      </w:r>
    </w:p>
    <w:p>
      <w:pPr>
        <w:pStyle w:val="Compact"/>
        <w:numPr>
          <w:ilvl w:val="0"/>
          <w:numId w:val="1001"/>
        </w:numPr>
      </w:pPr>
      <w:r>
        <w:t xml:space="preserve">Every report states its method, its sample size, and its limitations. A measurement without a</w:t>
      </w:r>
      <w:r>
        <w:t xml:space="preserve"> </w:t>
      </w:r>
      <w:r>
        <w:t xml:space="preserve">stated sample size is not a result</w:t>
      </w:r>
    </w:p>
    <w:p>
      <w:pPr>
        <w:pStyle w:val="Compact"/>
        <w:numPr>
          <w:ilvl w:val="0"/>
          <w:numId w:val="1001"/>
        </w:numPr>
      </w:pPr>
      <w:r>
        <w:t xml:space="preserve">Harnesses and raw output are committed under</w:t>
      </w:r>
      <w:r>
        <w:t xml:space="preserve"> </w:t>
      </w:r>
      <w:r>
        <w:rPr>
          <w:rStyle w:val="VerbatimChar"/>
        </w:rPr>
        <w:t xml:space="preserve">artifacts/</w:t>
      </w:r>
      <w:r>
        <w:t xml:space="preserve"> </w:t>
      </w:r>
      <w:r>
        <w:t xml:space="preserve">so that any figure can be reproduced</w:t>
      </w:r>
    </w:p>
    <w:p>
      <w:pPr>
        <w:pStyle w:val="Compact"/>
        <w:numPr>
          <w:ilvl w:val="0"/>
          <w:numId w:val="1001"/>
        </w:numPr>
      </w:pPr>
      <w:r>
        <w:t xml:space="preserve">A partial spike is reported as partial. Unmeasured candidates are listed as unmeasured rather than</w:t>
      </w:r>
      <w:r>
        <w:t xml:space="preserve"> </w:t>
      </w:r>
      <w:r>
        <w:t xml:space="preserve">omitted</w:t>
      </w:r>
    </w:p>
    <w:p>
      <w:pPr>
        <w:pStyle w:val="Compact"/>
        <w:numPr>
          <w:ilvl w:val="0"/>
          <w:numId w:val="1001"/>
        </w:numPr>
      </w:pPr>
      <w:r>
        <w:t xml:space="preserve">Recommendations arising from a small sample are marked provisional and do not become decisions</w:t>
      </w:r>
      <w:r>
        <w:t xml:space="preserve"> </w:t>
      </w:r>
      <w:r>
        <w:t xml:space="preserve">until confirmed</w:t>
      </w:r>
    </w:p>
    <w:bookmarkEnd w:id="13"/>
    <w:bookmarkEnd w:id="14"/>
    <w:sectPr>
      <w:footnotePr>
        <w:numRestart w:val="eachSect"/>
      </w:footnote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2026-09-07-model-selection.md" TargetMode="External" /><Relationship Type="http://schemas.openxmlformats.org/officeDocument/2006/relationships/hyperlink" Id="rId10" Target="2026-09-08-embedding-selection.md" TargetMode="External" /><Relationship Type="http://schemas.openxmlformats.org/officeDocument/2006/relationships/hyperlink" Id="rId11" Target="2026-09-09-container-to-host-reachabilit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2026-09-07-model-selection.md" TargetMode="External" /><Relationship Type="http://schemas.openxmlformats.org/officeDocument/2006/relationships/hyperlink" Id="rId10" Target="2026-09-08-embedding-selection.md" TargetMode="External" /><Relationship Type="http://schemas.openxmlformats.org/officeDocument/2006/relationships/hyperlink" Id="rId11" Target="2026-09-09-container-to-host-reachabilit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2026-09-10T03:59:43Z</dcterms:created>
  <dcterms:modified xsi:type="dcterms:W3CDTF">2026-09-10T03:59:43Z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