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DL-030</w:t>
            </w:r>
          </w:p>
        </w:tc>
        <w:tc>
          <w:tcPr/>
          <w:p>
            <w:pPr>
              <w:pStyle w:val="Compact"/>
            </w:pPr>
            <w:r>
              <w:t xml:space="preserve">The inference runtime stays bound to loopback; containers reach it through Docker Desktop's host proxy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Widening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with the port firewalled to the Docker subnet; containerizing inference with GPU passthrough</w:t>
            </w:r>
          </w:p>
        </w:tc>
        <w:tc>
          <w:tcPr/>
          <w:p>
            <w:pPr>
              <w:pStyle w:val="Compact"/>
            </w:pPr>
            <w:r>
              <w:t xml:space="preserve">Measured working on the default binding, so the alternative buys nothing and costs an unauthenticated inference API behind one firewall rule</w:t>
            </w:r>
          </w:p>
        </w:tc>
        <w:tc>
          <w:tcPr/>
          <w:p>
            <w:pPr>
              <w:pStyle w:val="Compact"/>
            </w:pPr>
            <w:r>
              <w:t xml:space="preserve">The deployment is Docker Desktop-specific. A Linux-native engine has no host proxy and needs the widened binding</w:t>
            </w:r>
          </w:p>
        </w:tc>
        <w:tc>
          <w:tcPr/>
          <w:p>
            <w:pPr>
              <w:pStyle w:val="Compact"/>
            </w:pPr>
            <w:r>
              <w:t xml:space="preserve">Deploying on a container runtime without a host proxy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Five candidates over twenty requirements. The 4B class is 2.9 to 3.9 GB and fully GPU-offloaded; both 8B candidates need 6.6 GB, run about a third on the CPU, and are 2.4 times slower for no quality gain</w:t>
            </w:r>
          </w:p>
        </w:tc>
        <w:tc>
          <w:tcPr/>
          <w:p>
            <w:pPr>
              <w:pStyle w:val="Compact"/>
            </w:pPr>
            <w:r>
              <w:t xml:space="preserve">Settled by the full run on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at its default quantization. Leads content quality at 0.988 AC coverage and 0.988 required case types over twenty requirements, no hallucinated criterion references, smallest footprint at 2.9 GB</w:t>
            </w:r>
          </w:p>
        </w:tc>
        <w:tc>
          <w:tcPr/>
          <w:p>
            <w:pPr>
              <w:pStyle w:val="Compact"/>
            </w:pPr>
            <w:r>
              <w:t xml:space="preserve">Chosen over a 7 s median latency advantage elsewhere, because the faster candidates each carry a coverage or accuracy deficit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100 of 100 valid on first attempt at single stage, across five models and twenty requirements</w:t>
            </w:r>
          </w:p>
        </w:tc>
        <w:tc>
          <w:tcPr/>
          <w:p>
            <w:pPr>
              <w:pStyle w:val="Compact"/>
            </w:pPr>
            <w:r>
              <w:t xml:space="preserve">The complete run showed no structural weakness to justify a second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It does not. Both candidates load at 6.6 GB against 6141 MiB, running 36% and 38% on the CPU, at 40 to 44 s median against 17.3 s</w:t>
            </w:r>
          </w:p>
        </w:tc>
        <w:tc>
          <w:tcPr/>
          <w:p>
            <w:pPr>
              <w:pStyle w:val="Compact"/>
            </w:pPr>
            <w:r>
              <w:t xml:space="preserve">R-08 closed on the measurement. Revisit only on different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DL-022, DL-023, DL-024 and DL-027 accepted on the full model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DL-030 added and accepted on the evidence in NOVA-SPK-003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2026-09-10T03:33:15Z</dcterms:created>
  <dcterms:modified xsi:type="dcterms:W3CDTF">2026-09-10T03:33:15Z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