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threat-model"/>
    <w:p>
      <w:pPr>
        <w:pStyle w:val="Heading1"/>
      </w:pPr>
      <w:r>
        <w:t xml:space="preserve">Threat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NOVA-TM-001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STRIDE, applied per data flow diagram element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14dfe8f0b252f4039975e19fb03b37d6f7b59ff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document analyses the initial release of NOVA: a locally deployed, single-user system with a</w:t>
      </w:r>
      <w:r>
        <w:t xml:space="preserve"> </w:t>
      </w:r>
      <w:r>
        <w:t xml:space="preserve">multi-tenant-capable data model, no authentication, and no outbound network dependency beyond a</w:t>
      </w:r>
      <w:r>
        <w:t xml:space="preserve"> </w:t>
      </w:r>
      <w:r>
        <w:t xml:space="preserve">host-resident inference runtime.</w:t>
      </w:r>
    </w:p>
    <w:p>
      <w:pPr>
        <w:pStyle w:val="BodyText"/>
      </w:pPr>
      <w:r>
        <w:t xml:space="preserve">Controls are separated into those implemented for this release and those a production deployment</w:t>
      </w:r>
      <w:r>
        <w:t xml:space="preserve"> </w:t>
      </w:r>
      <w:r>
        <w:t xml:space="preserve">would additionally require. Asserting production-grade security for a local single-user application</w:t>
      </w:r>
      <w:r>
        <w:t xml:space="preserve"> </w:t>
      </w:r>
      <w:r>
        <w:t xml:space="preserve">would itself be a defect in this document.</w:t>
      </w:r>
    </w:p>
    <w:p>
      <w:pPr>
        <w:pStyle w:val="BodyText"/>
      </w:pPr>
      <w:r>
        <w:rPr>
          <w:b/>
          <w:bCs/>
        </w:rPr>
        <w:t xml:space="preserve">Not claimed.</w:t>
      </w:r>
      <w:r>
        <w:t xml:space="preserve"> </w:t>
      </w:r>
      <w:r>
        <w:t xml:space="preserve">This analysis does not assert conformance to any control framework. It does not</w:t>
      </w:r>
      <w:r>
        <w:t xml:space="preserve"> </w:t>
      </w:r>
      <w:r>
        <w:t xml:space="preserve">claim that prompt injection is prevented, only that its blast radius is architecturally bounded.</w:t>
      </w:r>
    </w:p>
    <w:bookmarkEnd w:id="9"/>
    <w:bookmarkStart w:id="11" w:name="Xae4ad8ffa20de669ba147ce2fa1e2dd9d76759a"/>
    <w:p>
      <w:pPr>
        <w:pStyle w:val="Heading2"/>
      </w:pPr>
      <w:r>
        <w:t xml:space="preserve">2. System description</w:t>
      </w:r>
    </w:p>
    <w:p>
      <w:pPr>
        <w:pStyle w:val="FirstParagraph"/>
      </w:pPr>
      <w:r>
        <w:t xml:space="preserve">NOVA accepts natural-language requirements, generates structured test plans under schema constraint,</w:t>
      </w:r>
      <w:r>
        <w:t xml:space="preserve"> </w:t>
      </w:r>
      <w:r>
        <w:t xml:space="preserve">and stores rules derived from user corrections. Stored rules are retrieved and injected into</w:t>
      </w:r>
      <w:r>
        <w:t xml:space="preserve"> </w:t>
      </w:r>
      <w:r>
        <w:t xml:space="preserve">subsequent generation prompts.</w:t>
      </w:r>
    </w:p>
    <w:p>
      <w:pPr>
        <w:pStyle w:val="BodyText"/>
      </w:pPr>
      <w:r>
        <w:t xml:space="preserve">The property that dominates this analysis:</w:t>
      </w:r>
      <w:r>
        <w:t xml:space="preserve"> </w:t>
      </w:r>
      <w:r>
        <w:rPr>
          <w:b/>
          <w:bCs/>
        </w:rPr>
        <w:t xml:space="preserve">a stored memory is replayed into every future prompt</w:t>
      </w:r>
      <w:r>
        <w:rPr>
          <w:b/>
          <w:bCs/>
        </w:rPr>
        <w:t xml:space="preserve"> </w:t>
      </w:r>
      <w:r>
        <w:rPr>
          <w:b/>
          <w:bCs/>
        </w:rPr>
        <w:t xml:space="preserve">that retrieves it.</w:t>
      </w:r>
      <w:r>
        <w:t xml:space="preserve"> </w:t>
      </w:r>
      <w:r>
        <w:t xml:space="preserve">A compromise of the memory path is persistent, not transient.</w:t>
      </w:r>
    </w:p>
    <w:p>
      <w:pPr>
        <w:pStyle w:val="BodyText"/>
      </w:pPr>
      <w:r>
        <w:t xml:space="preserve">Architecture:</w:t>
      </w:r>
      <w:r>
        <w:t xml:space="preserve"> </w:t>
      </w:r>
      <w:hyperlink r:id="rId10">
        <w:r>
          <w:rPr>
            <w:rStyle w:val="Hyperlink"/>
          </w:rPr>
          <w:t xml:space="preserve">NOVA-SAD-001</w:t>
        </w:r>
      </w:hyperlink>
      <w:r>
        <w:t xml:space="preserve">.</w:t>
      </w:r>
    </w:p>
    <w:bookmarkEnd w:id="11"/>
    <w:bookmarkStart w:id="12" w:name="X34ccd75bf934fb972deb11f979ef83d5d0f7fc2"/>
    <w:p>
      <w:pPr>
        <w:pStyle w:val="Heading2"/>
      </w:pPr>
      <w:r>
        <w:t xml:space="preserve">3. Assets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Stored memories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Determine all future output. Compromise persists across every subsequent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Control system behaviour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Hosted provider credentials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Financial exposure and a data egress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Medium, High with authentic data</w:t>
            </w:r>
          </w:p>
        </w:tc>
        <w:tc>
          <w:tcPr/>
          <w:p>
            <w:pPr>
              <w:pStyle w:val="Compact"/>
            </w:pPr>
            <w:r>
              <w:t xml:space="preserve">May describe unreleased functionality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Execution traces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Contain prompt context and retrieved memory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Feedback events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authoritative learning record. Corruption propagates to every derived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Public by design</w:t>
            </w:r>
          </w:p>
        </w:tc>
      </w:tr>
    </w:tbl>
    <w:bookmarkEnd w:id="12"/>
    <w:bookmarkStart w:id="16" w:name="Xd30800314ec4366097a01c5695f6a10cd3b674b"/>
    <w:p>
      <w:pPr>
        <w:pStyle w:val="Heading2"/>
      </w:pPr>
      <w:r>
        <w:t xml:space="preserve">4. Trust boundaries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9d5e1198/threat-model-1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Crossing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Browser to API service</w:t>
            </w:r>
          </w:p>
        </w:tc>
        <w:tc>
          <w:tcPr/>
          <w:p>
            <w:pPr>
              <w:pStyle w:val="Compact"/>
            </w:pPr>
            <w:r>
              <w:t xml:space="preserve">Schema validation on every field. Tenant resolved server-side and never accepted from the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Untrusted text into a generation prompt</w:t>
            </w:r>
          </w:p>
        </w:tc>
        <w:tc>
          <w:tcPr/>
          <w:p>
            <w:pPr>
              <w:pStyle w:val="Compact"/>
            </w:pPr>
            <w:r>
              <w:t xml:space="preserve">Delimited and labelled as data. Never concatenated into instruction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Model output into persistence or presentation</w:t>
            </w:r>
          </w:p>
        </w:tc>
        <w:tc>
          <w:tcPr/>
          <w:p>
            <w:pPr>
              <w:pStyle w:val="Compact"/>
            </w:pPr>
            <w:r>
              <w:t xml:space="preserve">Schema conformance, then semantic validation, then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Correction text into durable 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highest-risk crossing.</w:t>
            </w:r>
            <w:r>
              <w:t xml:space="preserve"> </w:t>
            </w:r>
            <w:r>
              <w:t xml:space="preserve">Mechanical screen, then mandatory human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Tenant to tenant</w:t>
            </w:r>
          </w:p>
        </w:tc>
        <w:tc>
          <w:tcPr/>
          <w:p>
            <w:pPr>
              <w:pStyle w:val="Compact"/>
            </w:pPr>
            <w:r>
              <w:t xml:space="preserve">Scoping applied at the data access layer, not at call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Host to network</w:t>
            </w:r>
          </w:p>
        </w:tc>
        <w:tc>
          <w:tcPr/>
          <w:p>
            <w:pPr>
              <w:pStyle w:val="Compact"/>
            </w:pPr>
            <w:r>
              <w:t xml:space="preserve">Local inference by default. A hosted provider is reachable only through an explicit user action</w:t>
            </w:r>
          </w:p>
        </w:tc>
      </w:tr>
    </w:tbl>
    <w:bookmarkEnd w:id="16"/>
    <w:bookmarkStart w:id="23" w:name="X7ff617ab3868ecdbe16a9f777bcd3156137516b"/>
    <w:p>
      <w:pPr>
        <w:pStyle w:val="Heading2"/>
      </w:pPr>
      <w:r>
        <w:t xml:space="preserve">5. Threat enumeration</w:t>
      </w:r>
    </w:p>
    <w:p>
      <w:pPr>
        <w:pStyle w:val="FirstParagraph"/>
      </w:pPr>
      <w:r>
        <w:t xml:space="preserve">Threats are enumerated per STRIDE category and mapped to the boundary they cross.</w:t>
      </w:r>
    </w:p>
    <w:bookmarkStart w:id="17" w:name="X1f550497ee8524be854e64c149eee9fa9b11e28"/>
    <w:p>
      <w:pPr>
        <w:pStyle w:val="Heading3"/>
      </w:pPr>
      <w:r>
        <w:t xml:space="preserve">5.1 Spoofing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 client asserts a tenant identity it does not hold</w:t>
            </w:r>
          </w:p>
        </w:tc>
        <w:tc>
          <w:tcPr/>
          <w:p>
            <w:pPr>
              <w:pStyle w:val="Compact"/>
            </w:pPr>
            <w:r>
              <w:t xml:space="preserve">TB-1, TB-5</w:t>
            </w:r>
          </w:p>
        </w:tc>
        <w:tc>
          <w:tcPr/>
          <w:p>
            <w:pPr>
              <w:pStyle w:val="Compact"/>
            </w:pPr>
            <w:r>
              <w:t xml:space="preserve">Mitigated. The tenant identifier is resolved server-side and never read from a request body, header, or 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An actor impersonates the legitimate user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No authentication exists in this release. The service binds to the loopback interface and the threat model assumes host access equates to user access. Authentication is required before any multi-user deployment</w:t>
            </w:r>
          </w:p>
        </w:tc>
      </w:tr>
    </w:tbl>
    <w:bookmarkEnd w:id="17"/>
    <w:bookmarkStart w:id="18" w:name="Xfe397fbbbaf83cb61e3c13c47276c705250cef2"/>
    <w:p>
      <w:pPr>
        <w:pStyle w:val="Heading3"/>
      </w:pPr>
      <w:r>
        <w:t xml:space="preserve">5.2 Tampering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 injection through stored memory.</w:t>
            </w:r>
            <w:r>
              <w:t xml:space="preserve"> </w:t>
            </w:r>
            <w:r>
              <w:t xml:space="preserve">Correction text shaped as a system instruction survives extraction, is confirmed, and is thereafter replayed into every retrieving prompt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 by two independent controls in series, and by the absence of any capability to misuse. See section 6.1.</w:t>
            </w:r>
            <w:r>
              <w:t xml:space="preserve"> </w:t>
            </w:r>
            <w:r>
              <w:rPr>
                <w:b/>
                <w:bCs/>
              </w:rPr>
              <w:t xml:space="preserve">Highest-impact threat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Injection through requirement text redirects generation</w:t>
            </w:r>
          </w:p>
        </w:tc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Mitigated. Delimited and labelled untrusted blocks, constrained decoding bounding the output shape, output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Bounded update step, clamped score range, minimum observation threshold, per-tenant score isolation. No single event can alter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Model output containing markup, path traversal, or query-shaped text is interpreted rather than treated as data</w:t>
            </w:r>
          </w:p>
        </w:tc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Mitigated. Schema conformance, semantic validation, parameterized queries only,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Direct modification of the datastore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Host access is assumed equivalent to user access in a local deployment</w:t>
            </w:r>
          </w:p>
        </w:tc>
      </w:tr>
    </w:tbl>
    <w:bookmarkEnd w:id="18"/>
    <w:bookmarkStart w:id="19" w:name="Xab42d9fd96f49c2aa316c27bd34e1656b378993"/>
    <w:p>
      <w:pPr>
        <w:pStyle w:val="Heading3"/>
      </w:pPr>
      <w:r>
        <w:t xml:space="preserve">5.3 Repudiation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The origin of a stored memory cannot be established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Provenance recorded against every memory: originating task, correction, timestamp. Feedback events are immutable and retained independently of any memory derived from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 configuration change cannot be attributed or reconstructed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Versioned configuration records, retained on supersession, each activation linked to its evaluation run</w:t>
            </w:r>
          </w:p>
        </w:tc>
      </w:tr>
    </w:tbl>
    <w:bookmarkEnd w:id="19"/>
    <w:bookmarkStart w:id="20" w:name="X2ca82af7dc3a6b06f8ad5cadc64a6684d82b046"/>
    <w:p>
      <w:pPr>
        <w:pStyle w:val="Heading3"/>
      </w:pPr>
      <w:r>
        <w:t xml:space="preserve">5.4 Information disclosure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Cross-tenant disclosure</w:t>
            </w:r>
            <w:r>
              <w:t xml:space="preserve"> </w:t>
            </w:r>
            <w:r>
              <w:t xml:space="preserve">through an unscoped query or an insecure direct object reference</w:t>
            </w:r>
          </w:p>
        </w:tc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Mitigated. Scoping applied at the data access layer such that no query path can omit it. Verified by an unconditional gate.</w:t>
            </w:r>
            <w:r>
              <w:t xml:space="preserve"> </w:t>
            </w:r>
            <w:r>
              <w:rPr>
                <w:b/>
                <w:bCs/>
              </w:rPr>
              <w:t xml:space="preserve">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Requirement or memory content is transmitted off-host through a provider change</w:t>
            </w:r>
          </w:p>
        </w:tc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Mitigated. Provider change requires explicit user action and never occurs as a fallback. The active provider is displayed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Content is disclosed through application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Identifiers and prompt digests only. Content logging exists solely as an explicit debug mode, and its absence is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Deleted memory content is recoverable from historical traces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Traces store prompt digests, not prompt text. Deletion purges content and retains only a tombstone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Credentials are disclosed through the repository or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Environment file excluded from version control, secret scanning enabled. The default configuration requires no credential</w:t>
            </w:r>
          </w:p>
        </w:tc>
      </w:tr>
    </w:tbl>
    <w:bookmarkEnd w:id="20"/>
    <w:bookmarkStart w:id="21" w:name="Xc115925a68ba87844979d230bbe797b0cb2cbd0"/>
    <w:p>
      <w:pPr>
        <w:pStyle w:val="Heading3"/>
      </w:pPr>
      <w:r>
        <w:t xml:space="preserve">5.5 Denial of service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An oversized requirement exhausts context or memory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Input length caps, context budget guard reducing retrieved memory before requirement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A repeatedly failing job consumes resources without bound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Bounded attempt count, then terminal failure. Every retry loop bounded with a defined terminal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Unbounded memory growth degrades retrieval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Near-duplicate detection, confidence decay, archival below a floor, per-tenant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Unbounded trace growth consumes storage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for this release.</w:t>
            </w:r>
            <w:r>
              <w:t xml:space="preserve"> </w:t>
            </w:r>
            <w:r>
              <w:t xml:space="preserve">No pruning policy exists. Recorded as technical debt rather than discovered later</w:t>
            </w:r>
          </w:p>
        </w:tc>
      </w:tr>
    </w:tbl>
    <w:bookmarkEnd w:id="21"/>
    <w:bookmarkStart w:id="22" w:name="X17ba0e0578322b7fc48af2cf6f8888e5c85988c"/>
    <w:p>
      <w:pPr>
        <w:pStyle w:val="Heading3"/>
      </w:pPr>
      <w:r>
        <w:t xml:space="preserve">5.6 Elevation of privilege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An injected instruction causes the model to take an action beyond generating text</w:t>
            </w:r>
          </w:p>
        </w:tc>
        <w:tc>
          <w:tcPr/>
          <w:p>
            <w:pPr>
              <w:pStyle w:val="Compact"/>
            </w:pPr>
            <w:r>
              <w:t xml:space="preserve">TB-2, TB-4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Mitigated architecturally.</w:t>
            </w:r>
            <w:r>
              <w:t xml:space="preserve"> </w:t>
            </w:r>
            <w:r>
              <w:t xml:space="preserve">The model has no tool surface: no shell, no filesystem, no network capability. A successful injection can produce a poor test case. It cannot take an action, because no action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 configuration version is activated without evaluation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Activation without a linked passing evaluation run is rejected at the data layer, not merely in the interface. An interface-only check is 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A malicious dependency executes code</w:t>
            </w:r>
          </w:p>
        </w:tc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Partially mitigated. Pinned versions with a lockfile, automated advisories, dependency audit in continuous integration, base images pinned by digest. Deliberate minimization of dependency count</w:t>
            </w:r>
          </w:p>
        </w:tc>
      </w:tr>
    </w:tbl>
    <w:bookmarkEnd w:id="22"/>
    <w:bookmarkEnd w:id="23"/>
    <w:bookmarkStart w:id="28" w:name="X63932f5446b3d05c3905b36b1e11d7e2c909204"/>
    <w:p>
      <w:pPr>
        <w:pStyle w:val="Heading2"/>
      </w:pPr>
      <w:r>
        <w:t xml:space="preserve">6. Mitigations</w:t>
      </w:r>
    </w:p>
    <w:bookmarkStart w:id="24" w:name="X77bb8c58e9a58abbf8b686f5d2def1ea09e0a9b"/>
    <w:p>
      <w:pPr>
        <w:pStyle w:val="Heading3"/>
      </w:pPr>
      <w:r>
        <w:t xml:space="preserve">6.1 The memory path, in detail</w:t>
      </w:r>
    </w:p>
    <w:p>
      <w:pPr>
        <w:pStyle w:val="FirstParagraph"/>
      </w:pPr>
      <w:r>
        <w:t xml:space="preserve">Threat T3 receives disproportionate treatment because its impact is persistent.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Known weakness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Length bound on candidate rule text</w:t>
            </w:r>
          </w:p>
        </w:tc>
        <w:tc>
          <w:tcPr/>
          <w:p>
            <w:pPr>
              <w:pStyle w:val="Compact"/>
            </w:pPr>
            <w:r>
              <w:t xml:space="preserve">Bounds payload size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Generality, actionability, and scope-soundness checks</w:t>
            </w:r>
          </w:p>
        </w:tc>
        <w:tc>
          <w:tcPr/>
          <w:p>
            <w:pPr>
              <w:pStyle w:val="Compact"/>
            </w:pPr>
            <w:r>
              <w:t xml:space="preserve">Rejects malformed candidates, not adversarial 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Instruction-shape screen</w:t>
            </w:r>
          </w:p>
        </w:tc>
        <w:tc>
          <w:tcPr/>
          <w:p>
            <w:pPr>
              <w:pStyle w:val="Compact"/>
            </w:pPr>
            <w:r>
              <w:t xml:space="preserve">A denylist against an open-ended attack surface.</w:t>
            </w:r>
            <w:r>
              <w:t xml:space="preserve"> </w:t>
            </w:r>
            <w:r>
              <w:rPr>
                <w:b/>
                <w:bCs/>
              </w:rPr>
              <w:t xml:space="preserve">Will miss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Near-duplicate and conflict detection</w:t>
            </w:r>
          </w:p>
        </w:tc>
        <w:tc>
          <w:tcPr/>
          <w:p>
            <w:pPr>
              <w:pStyle w:val="Compact"/>
            </w:pPr>
            <w:r>
              <w:t xml:space="preserve">Surfaces contradiction, does not detect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Mandatory human confirmation</w:t>
            </w:r>
          </w:p>
        </w:tc>
        <w:tc>
          <w:tcPr/>
          <w:p>
            <w:pPr>
              <w:pStyle w:val="Compact"/>
            </w:pPr>
            <w:r>
              <w:t xml:space="preserve">Depends on the user reading the candidate. Degrades under high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The strongest layer, and architectural rather than filter-based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Adversarial regression suite</w:t>
            </w:r>
          </w:p>
        </w:tc>
        <w:tc>
          <w:tcPr/>
          <w:p>
            <w:pPr>
              <w:pStyle w:val="Compact"/>
            </w:pPr>
            <w:r>
              <w:t xml:space="preserve">Establishes a floor, not a guarantee</w:t>
            </w:r>
          </w:p>
        </w:tc>
      </w:tr>
    </w:tbl>
    <w:p>
      <w:pPr>
        <w:pStyle w:val="BodyText"/>
      </w:pPr>
      <w:r>
        <w:t xml:space="preserve">Layers 3 and 5 are deliberately paired. Layer 3 is known to be incomplete, which is precisely why</w:t>
      </w:r>
      <w:r>
        <w:t xml:space="preserve"> </w:t>
      </w:r>
      <w:r>
        <w:t xml:space="preserve">layer 5 exists behind it. Treating either as sufficient would be an error.</w:t>
      </w:r>
    </w:p>
    <w:p>
      <w:pPr>
        <w:pStyle w:val="BodyText"/>
      </w:pPr>
      <w:r>
        <w:t xml:space="preserve">Layer 6 is what bounds the consequence. Absent a tool surface, the worst outcome of a successful</w:t>
      </w:r>
      <w:r>
        <w:t xml:space="preserve"> </w:t>
      </w:r>
      <w:r>
        <w:t xml:space="preserve">injection is a poor test case that a human reviews.</w:t>
      </w:r>
    </w:p>
    <w:bookmarkEnd w:id="24"/>
    <w:bookmarkStart w:id="25" w:name="X882cf58fca9237880550419d839a31e2ae99669"/>
    <w:p>
      <w:pPr>
        <w:pStyle w:val="Heading3"/>
      </w:pPr>
      <w:r>
        <w:t xml:space="preserve">6.2 Permission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Only what the API exposes. No direct datastore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Datastore read and write within its tables. Inference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Same datastore scope. Inference gateway.</w:t>
            </w:r>
            <w:r>
              <w:t xml:space="preserve"> </w:t>
            </w:r>
            <w:r>
              <w:rPr>
                <w:b/>
                <w:bCs/>
              </w:rPr>
              <w:t xml:space="preserve">No inbound listener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inference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Generates text into a schema. Cannot read files, execute commands, or initiate network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A separate datastore instance. Never touches working data</w:t>
            </w:r>
          </w:p>
        </w:tc>
      </w:tr>
    </w:tbl>
    <w:p>
      <w:pPr>
        <w:pStyle w:val="BodyText"/>
      </w:pPr>
      <w:r>
        <w:t xml:space="preserve">The absence of a tool surface is a designed property, not an unimplemented feature. Introducing one</w:t>
      </w:r>
      <w:r>
        <w:t xml:space="preserve"> </w:t>
      </w:r>
      <w:r>
        <w:t xml:space="preserve">later would require a permission model, sandboxing, and an approval flow, which is why such</w:t>
      </w:r>
      <w:r>
        <w:t xml:space="preserve"> </w:t>
      </w:r>
      <w:r>
        <w:t xml:space="preserve">capabilities are excluded from this release.</w:t>
      </w:r>
    </w:p>
    <w:bookmarkEnd w:id="25"/>
    <w:bookmarkStart w:id="26" w:name="X6da858a39a50da2d8564533c27eed7fd1b0b0df"/>
    <w:p>
      <w:pPr>
        <w:pStyle w:val="Heading3"/>
      </w:pPr>
      <w:r>
        <w:t xml:space="preserve">6.3 Input and output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inbound</w:t>
            </w:r>
          </w:p>
        </w:tc>
        <w:tc>
          <w:tcPr/>
          <w:p>
            <w:pPr>
              <w:pStyle w:val="Compact"/>
            </w:pPr>
            <w:r>
              <w:t xml:space="preserve">Typed models, length caps, enumerated constraints, unknown fields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Length cap tied to the context budget, encoding normalization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text</w:t>
            </w:r>
          </w:p>
        </w:tc>
        <w:tc>
          <w:tcPr/>
          <w:p>
            <w:pPr>
              <w:pStyle w:val="Compact"/>
            </w:pPr>
            <w:r>
              <w:t xml:space="preserve">Length cap, instruction-shape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output</w:t>
            </w:r>
          </w:p>
        </w:tc>
        <w:tc>
          <w:tcPr/>
          <w:p>
            <w:pPr>
              <w:pStyle w:val="Compact"/>
            </w:pPr>
            <w:r>
              <w:t xml:space="preserve">Schema conformance, semantic checks, referential integrity of criterion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content</w:t>
            </w:r>
          </w:p>
        </w:tc>
        <w:tc>
          <w:tcPr/>
          <w:p>
            <w:pPr>
              <w:pStyle w:val="Compact"/>
            </w:pPr>
            <w:r>
              <w:t xml:space="preserve">Validation screen before proposal, human confirmation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Rendered output</w:t>
            </w:r>
          </w:p>
        </w:tc>
        <w:tc>
          <w:tcPr/>
          <w:p>
            <w:pPr>
              <w:pStyle w:val="Compact"/>
            </w:pPr>
            <w:r>
              <w:t xml:space="preserve">Framework escaping.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Parameterized queries exclusively</w:t>
            </w:r>
          </w:p>
        </w:tc>
      </w:tr>
    </w:tbl>
    <w:bookmarkEnd w:id="26"/>
    <w:bookmarkStart w:id="27" w:name="X231f0920262e849f778a9e29e759a902586dfbc"/>
    <w:p>
      <w:pPr>
        <w:pStyle w:val="Heading3"/>
      </w:pPr>
      <w:r>
        <w:t xml:space="preserve">6.4 Tenant isolation</w:t>
      </w:r>
    </w:p>
    <w:p>
      <w:pPr>
        <w:pStyle w:val="FirstParagraph"/>
      </w:pPr>
      <w:r>
        <w:t xml:space="preserve">The single guarantee admitting no tolerance.</w:t>
      </w:r>
    </w:p>
    <w:p>
      <w:pPr>
        <w:pStyle w:val="Compact"/>
        <w:numPr>
          <w:ilvl w:val="0"/>
          <w:numId w:val="1001"/>
        </w:numPr>
      </w:pPr>
      <w:r>
        <w:t xml:space="preserve">Tenant identifier present on every user-owned relation</w:t>
      </w:r>
    </w:p>
    <w:p>
      <w:pPr>
        <w:pStyle w:val="Compact"/>
        <w:numPr>
          <w:ilvl w:val="0"/>
          <w:numId w:val="1001"/>
        </w:numPr>
      </w:pPr>
      <w:r>
        <w:t xml:space="preserve">Scoping applied at the data access layer, so isolation does not depend on any caller remembering</w:t>
      </w:r>
    </w:p>
    <w:p>
      <w:pPr>
        <w:pStyle w:val="Compact"/>
        <w:numPr>
          <w:ilvl w:val="0"/>
          <w:numId w:val="1001"/>
        </w:numPr>
      </w:pPr>
      <w:r>
        <w:t xml:space="preserve">Tenant resolved server-side, never from a client-supplied value</w:t>
      </w:r>
    </w:p>
    <w:p>
      <w:pPr>
        <w:pStyle w:val="Compact"/>
        <w:numPr>
          <w:ilvl w:val="0"/>
          <w:numId w:val="1001"/>
        </w:numPr>
      </w:pPr>
      <w:r>
        <w:t xml:space="preserve">No endpoint returns an object without a scope check</w:t>
      </w:r>
    </w:p>
    <w:p>
      <w:pPr>
        <w:pStyle w:val="Compact"/>
        <w:numPr>
          <w:ilvl w:val="0"/>
          <w:numId w:val="1001"/>
        </w:numPr>
      </w:pPr>
      <w:r>
        <w:t xml:space="preserve">The isolation suite is an unconditional gate from the milestone in which memory first exists,</w:t>
      </w:r>
      <w:r>
        <w:t xml:space="preserve"> </w:t>
      </w:r>
      <w:r>
        <w:t xml:space="preserve">before a second tenant is ever created, because the test is what preserves the guarantee as the</w:t>
      </w:r>
      <w:r>
        <w:t xml:space="preserve"> </w:t>
      </w:r>
      <w:r>
        <w:t xml:space="preserve">code grows</w:t>
      </w:r>
    </w:p>
    <w:p>
      <w:pPr>
        <w:pStyle w:val="Compact"/>
        <w:numPr>
          <w:ilvl w:val="0"/>
          <w:numId w:val="1001"/>
        </w:numPr>
      </w:pPr>
      <w:r>
        <w:t xml:space="preserve">With authentication, row-level security is added as defence in depth</w:t>
      </w:r>
    </w:p>
    <w:bookmarkEnd w:id="27"/>
    <w:bookmarkEnd w:id="28"/>
    <w:bookmarkStart w:id="29" w:name="X318598390b8ae2b8a85796383fad605c9f2c4fb"/>
    <w:p>
      <w:pPr>
        <w:pStyle w:val="Heading2"/>
      </w:pPr>
      <w:r>
        <w:t xml:space="preserve">7. Residual risk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Rationale for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RR-1</w:t>
            </w:r>
          </w:p>
        </w:tc>
        <w:tc>
          <w:tcPr/>
          <w:p>
            <w:pPr>
              <w:pStyle w:val="Compact"/>
            </w:pPr>
            <w:r>
              <w:t xml:space="preserve">Prompt injection is bounded, not prevented</w:t>
            </w:r>
          </w:p>
        </w:tc>
        <w:tc>
          <w:tcPr/>
          <w:p>
            <w:pPr>
              <w:pStyle w:val="Compact"/>
            </w:pPr>
            <w:r>
              <w:t xml:space="preserve">The threat class is unsolved industry-wide. The defensible claim is architectural: the agent possesses no capability to misuse. The adversarial suite establishes a floor, not a 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RR-2</w:t>
            </w:r>
          </w:p>
        </w:tc>
        <w:tc>
          <w:tcPr/>
          <w:p>
            <w:pPr>
              <w:pStyle w:val="Compact"/>
            </w:pPr>
            <w:r>
              <w:t xml:space="preserve">No authentication exists</w:t>
            </w:r>
          </w:p>
        </w:tc>
        <w:tc>
          <w:tcPr/>
          <w:p>
            <w:pPr>
              <w:pStyle w:val="Compact"/>
            </w:pPr>
            <w:r>
              <w:t xml:space="preserve">Single-user local deployment bound to loopback. Host access is assumed equivalent to user access. Required before any multi-user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RR-3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is not detected</w:t>
            </w:r>
          </w:p>
        </w:tc>
        <w:tc>
          <w:tcPr/>
          <w:p>
            <w:pPr>
              <w:pStyle w:val="Compact"/>
            </w:pPr>
            <w:r>
              <w:t xml:space="preserve">The release processes synthetic and open-source data only.</w:t>
            </w:r>
            <w:r>
              <w:t xml:space="preserve"> </w:t>
            </w:r>
            <w:r>
              <w:rPr>
                <w:b/>
                <w:bCs/>
              </w:rPr>
              <w:t xml:space="preserve">This status changes should authentic data enter the system</w:t>
            </w:r>
            <w:r>
              <w:t xml:space="preserve">, at which point detection becomes a requirement rather than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RR-4</w:t>
            </w:r>
          </w:p>
        </w:tc>
        <w:tc>
          <w:tcPr/>
          <w:p>
            <w:pPr>
              <w:pStyle w:val="Compact"/>
            </w:pPr>
            <w:r>
              <w:t xml:space="preserve">No encryption at rest</w:t>
            </w:r>
          </w:p>
        </w:tc>
        <w:tc>
          <w:tcPr/>
          <w:p>
            <w:pPr>
              <w:pStyle w:val="Compact"/>
            </w:pPr>
            <w:r>
              <w:t xml:space="preserve">Local disk, synthetic data. Volume and column-level encryption required for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RR-5</w:t>
            </w:r>
          </w:p>
        </w:tc>
        <w:tc>
          <w:tcPr/>
          <w:p>
            <w:pPr>
              <w:pStyle w:val="Compact"/>
            </w:pPr>
            <w:r>
              <w:t xml:space="preserve">Trace growth is unbounded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Recorded as technical debt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RR-6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RR-7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Novel threat with no established benchmark. The adversarial suite is the only evidence and is described as such</w:t>
            </w:r>
          </w:p>
        </w:tc>
      </w:tr>
    </w:tbl>
    <w:bookmarkEnd w:id="29"/>
    <w:bookmarkStart w:id="30" w:name="X5e87c6980ed91cc3e7ba3e39c2d7b456b7be1cb"/>
    <w:p>
      <w:pPr>
        <w:pStyle w:val="Heading2"/>
      </w:pPr>
      <w:r>
        <w:t xml:space="preserve">8.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Consequence if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SA-1</w:t>
            </w:r>
          </w:p>
        </w:tc>
        <w:tc>
          <w:tcPr/>
          <w:p>
            <w:pPr>
              <w:pStyle w:val="Compact"/>
            </w:pPr>
            <w:r>
              <w:t xml:space="preserve">Host access is equivalent to legitimate user access</w:t>
            </w:r>
          </w:p>
        </w:tc>
        <w:tc>
          <w:tcPr/>
          <w:p>
            <w:pPr>
              <w:pStyle w:val="Compact"/>
            </w:pPr>
            <w:r>
              <w:t xml:space="preserve">The absence of authentication becomes exploitable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SA-2</w:t>
            </w:r>
          </w:p>
        </w:tc>
        <w:tc>
          <w:tcPr/>
          <w:p>
            <w:pPr>
              <w:pStyle w:val="Compact"/>
            </w:pPr>
            <w:r>
              <w:t xml:space="preserve">The instruction-shape screen catches enough to keep human review tractable</w:t>
            </w:r>
          </w:p>
        </w:tc>
        <w:tc>
          <w:tcPr/>
          <w:p>
            <w:pPr>
              <w:pStyle w:val="Compact"/>
            </w:pPr>
            <w:r>
              <w:t xml:space="preserve">Review fatigue degrades the effectiveness of layer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SA-3</w:t>
            </w:r>
          </w:p>
        </w:tc>
        <w:tc>
          <w:tcPr/>
          <w:p>
            <w:pPr>
              <w:pStyle w:val="Compact"/>
            </w:pPr>
            <w:r>
              <w:t xml:space="preserve">Data remains synthetic and open-source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detection becomes 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SA-4</w:t>
            </w:r>
          </w:p>
        </w:tc>
        <w:tc>
          <w:tcPr/>
          <w:p>
            <w:pPr>
              <w:pStyle w:val="Compact"/>
            </w:pPr>
            <w:r>
              <w:t xml:space="preserve">No tool capability is introduced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entire document requires rewriting rather than amendment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SA-5</w:t>
            </w:r>
          </w:p>
        </w:tc>
        <w:tc>
          <w:tcPr/>
          <w:p>
            <w:pPr>
              <w:pStyle w:val="Compact"/>
            </w:pPr>
            <w:r>
              <w:t xml:space="preserve">Services remain bound to the loopback interface</w:t>
            </w:r>
          </w:p>
        </w:tc>
        <w:tc>
          <w:tcPr/>
          <w:p>
            <w:pPr>
              <w:pStyle w:val="Compact"/>
            </w:pPr>
            <w:r>
              <w:t xml:space="preserve">Network exposure introduces threats not analysed here</w:t>
            </w:r>
          </w:p>
        </w:tc>
      </w:tr>
    </w:tbl>
    <w:bookmarkEnd w:id="30"/>
    <w:bookmarkStart w:id="31" w:name="X1688be7d14b8634ea324537b6f509fe927ca514"/>
    <w:p>
      <w:pPr>
        <w:pStyle w:val="Heading2"/>
      </w:pPr>
      <w:r>
        <w:t xml:space="preserve">9. Controls by release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Production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Stubbed, single user</w:t>
            </w:r>
          </w:p>
        </w:tc>
        <w:tc>
          <w:tcPr/>
          <w:p>
            <w:pPr>
              <w:pStyle w:val="Compact"/>
            </w:pPr>
            <w:r>
              <w:t xml:space="preserve">Federated identity or session authentication, multi-factor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Data-layer scoping</w:t>
            </w:r>
          </w:p>
        </w:tc>
        <w:tc>
          <w:tcPr/>
          <w:p>
            <w:pPr>
              <w:pStyle w:val="Compact"/>
            </w:pPr>
            <w:r>
              <w:t xml:space="preserve">Additionally row-level security in the datastore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Documented, middleware seam present</w:t>
            </w:r>
          </w:p>
        </w:tc>
        <w:tc>
          <w:tcPr/>
          <w:p>
            <w:pPr>
              <w:pStyle w:val="Compact"/>
            </w:pPr>
            <w:r>
              <w:t xml:space="preserve">Enforced per-tenant token bucket, tighter on inference-invoking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Personally identifiable information</w:t>
            </w:r>
          </w:p>
        </w:tc>
        <w:tc>
          <w:tcPr/>
          <w:p>
            <w:pPr>
              <w:pStyle w:val="Compact"/>
            </w:pPr>
            <w:r>
              <w:t xml:space="preserve">Not detected. Recorded gap</w:t>
            </w:r>
          </w:p>
        </w:tc>
        <w:tc>
          <w:tcPr/>
          <w:p>
            <w:pPr>
              <w:pStyle w:val="Compact"/>
            </w:pPr>
            <w:r>
              <w:t xml:space="preserve">Detection with redaction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Volume encryption plus column-level for sensitive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Environment file</w:t>
            </w:r>
          </w:p>
        </w:tc>
        <w:tc>
          <w:tcPr/>
          <w:p>
            <w:pPr>
              <w:pStyle w:val="Compact"/>
            </w:pPr>
            <w:r>
              <w:t xml:space="preserve">Managed secret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Application-level append-only</w:t>
            </w:r>
          </w:p>
        </w:tc>
        <w:tc>
          <w:tcPr/>
          <w:p>
            <w:pPr>
              <w:pStyle w:val="Compact"/>
            </w:pPr>
            <w:r>
              <w:t xml:space="preserve">Additionally tamper-evident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Manual, drilled once</w:t>
            </w:r>
          </w:p>
        </w:tc>
        <w:tc>
          <w:tcPr/>
          <w:p>
            <w:pPr>
              <w:pStyle w:val="Compact"/>
            </w:pPr>
            <w:r>
              <w:t xml:space="preserve">Scheduled, offsite, point-in-time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Local tracing</w:t>
            </w:r>
          </w:p>
        </w:tc>
        <w:tc>
          <w:tcPr/>
          <w:p>
            <w:pPr>
              <w:pStyle w:val="Compact"/>
            </w:pPr>
            <w:r>
              <w:t xml:space="preserve">Alerting, service objectives, on-call rotation</w:t>
            </w:r>
          </w:p>
        </w:tc>
      </w:tr>
    </w:tbl>
    <w:bookmarkEnd w:id="31"/>
    <w:bookmarkStart w:id="33" w:name="Xad5ddb00cc844bad8b47beaff14c92f43b442df"/>
    <w:p>
      <w:pPr>
        <w:pStyle w:val="Heading2"/>
      </w:pPr>
      <w:r>
        <w:t xml:space="preserve">10. Verification</w:t>
      </w:r>
    </w:p>
    <w:p>
      <w:pPr>
        <w:pStyle w:val="FirstParagraph"/>
      </w:pPr>
      <w:r>
        <w:t xml:space="preserve">Every threat maps to a test. The mapping is maintained in</w:t>
      </w:r>
      <w:r>
        <w:t xml:space="preserve"> </w:t>
      </w:r>
      <w:hyperlink r:id="rId32">
        <w:r>
          <w:rPr>
            <w:rStyle w:val="Hyperlink"/>
          </w:rPr>
          <w:t xml:space="preserve">NOVA-STP-001 section 4.1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group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T1, T10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gate. Insecure direct object reference attempts against every identifier-bearing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 specifically: instruction-shaped corrections, oversized rules, rules crafted to suppress required case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Adversarial scenarios against the generation prompt: direct instruction, instructions concealed within acceptance criteria, role-play framing, encoded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Output handling scenarios: markup, traversal strings, query-shaped text, oversized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Automated assertion that no content field appears in log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T15, T16</w:t>
            </w:r>
          </w:p>
        </w:tc>
        <w:tc>
          <w:tcPr/>
          <w:p>
            <w:pPr>
              <w:pStyle w:val="Compact"/>
            </w:pPr>
            <w:r>
              <w:t xml:space="preserve">Fault injection: oversized requirement, poison job, provider unavailability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Attempted activation of an unevaluated configuration version, expecting 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Dependency audit in continuous integration</w:t>
            </w:r>
          </w:p>
        </w:tc>
      </w:tr>
    </w:tbl>
    <w:bookmarkEnd w:id="33"/>
    <w:bookmarkStart w:id="34" w:name="Xc7e7ada74ec24fa461cf7a7d6a8b111365768cd"/>
    <w:p>
      <w:pPr>
        <w:pStyle w:val="Heading2"/>
      </w:pPr>
      <w:r>
        <w:t xml:space="preserve">11. Environmental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binding</w:t>
            </w:r>
          </w:p>
        </w:tc>
        <w:tc>
          <w:tcPr/>
          <w:p>
            <w:pPr>
              <w:pStyle w:val="Compact"/>
            </w:pPr>
            <w:r>
              <w:t xml:space="preserve">Loopback only. No reason exists to expose a local single-user application to a network segment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inference</w:t>
            </w:r>
          </w:p>
        </w:tc>
        <w:tc>
          <w:tcPr/>
          <w:p>
            <w:pPr>
              <w:pStyle w:val="Compact"/>
            </w:pPr>
            <w:r>
              <w:t xml:space="preserve">The inference runtime is host-resident rather than containerized. GPU passthrough on this platform adds operational friction without benefit. The container-to-host path requires verification and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contention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nominal. Recorded so that measurements taken here remain interpretable elsewhere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35"/>
    <w:bookmarkEnd w:id="3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0" Target="architecture.md" TargetMode="External" /><Relationship Type="http://schemas.openxmlformats.org/officeDocument/2006/relationships/hyperlink" Id="rId32" Target="test-plan.md#41-product-ris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rchitecture.md" TargetMode="External" /><Relationship Type="http://schemas.openxmlformats.org/officeDocument/2006/relationships/hyperlink" Id="rId32" Target="test-plan.md#41-product-ris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2026-09-10T03:33:10Z</dcterms:created>
  <dcterms:modified xsi:type="dcterms:W3CDTF">2026-09-10T03:33:10Z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