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does not fit the 6 GB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measurement. Where offload to host memory is required, the resulting latency determines the outcome</w:t>
            </w:r>
          </w:p>
        </w:tc>
        <w:tc>
          <w:tcPr/>
          <w:p>
            <w:pPr>
              <w:pStyle w:val="Compact"/>
            </w:pPr>
            <w:r>
              <w:t xml:space="preserve">Residency measurement exceeding available VRAM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platform, and is the most probable early impediment. Anyone reproducing the deployment encounters 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Half a day allocated. Resolution documented in the repository README</w:t>
            </w:r>
          </w:p>
        </w:tc>
        <w:tc>
          <w:tcPr/>
          <w:p>
            <w:pPr>
              <w:pStyle w:val="Compact"/>
            </w:pPr>
            <w:r>
              <w:t xml:space="preserve">Container unable to reach the host inference endpoint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2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</w:tbl>
    <w:bookmarkEnd w:id="12"/>
    <w:bookmarkStart w:id="13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</w:tbl>
    <w:bookmarkEnd w:id="14"/>
    <w:bookmarkEnd w:id="1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2026-09-09T00:10:39Z</dcterms:created>
  <dcterms:modified xsi:type="dcterms:W3CDTF">2026-09-09T00:10:39Z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