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12 of 12 schema-conformant, fully GPU-resident, 9 to 26 s warm. The 8B class is unmeasured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4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12 of 12 generations valid first attempt, no repair retry</w:t>
      </w:r>
      <w:r>
        <w:t xml:space="preserve"> </w:t>
      </w:r>
      <w:r>
        <w:t xml:space="preserve">needed. Ollama accepted the 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 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target.</w:t>
      </w:r>
      <w:r>
        <w:t xml:space="preserve"> </w:t>
      </w:r>
      <w:r>
        <w:t xml:space="preserve">The draft NFR was p95 â‰¤90 s end to end. Generation</w:t>
      </w:r>
      <w:r>
        <w:t xml:space="preserve"> </w:t>
      </w:r>
      <w:r>
        <w:t xml:space="preserve">alone came in at 9 to 26 s warm. Even adding retrieval, a critic pass, and persistence, there's a lot</w:t>
      </w:r>
      <w:r>
        <w:t xml:space="preserve"> </w:t>
      </w:r>
      <w:r>
        <w:t xml:space="preserve">of margin. That target should be tightened once the full pipeline exists, because one with this much</w:t>
      </w:r>
      <w:r>
        <w:t xml:space="preserve"> </w:t>
      </w:r>
      <w:r>
        <w:t xml:space="preserve">slack doesn't constrain anything.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n=4 per model. Way too small for percentile latency, or for separating models whose quality</w:t>
      </w:r>
      <w:r>
        <w:t xml:space="preserve"> </w:t>
      </w:r>
      <w:r>
        <w:t xml:space="preserve">scores are close.</w:t>
      </w:r>
    </w:p>
    <w:p>
      <w:pPr>
        <w:pStyle w:val="Compact"/>
        <w:numPr>
          <w:ilvl w:val="0"/>
          <w:numId w:val="1003"/>
        </w:numPr>
      </w:pPr>
      <w:r>
        <w:t xml:space="preserve">Two of five candidates never measured. Both 8B ones are on disk, but the run stopped before</w:t>
      </w:r>
      <w:r>
        <w:t xml:space="preserve"> </w:t>
      </w:r>
      <w:r>
        <w:t xml:space="preserve">reaching them. The 8B fit question is open.</w:t>
      </w:r>
    </w:p>
    <w:p>
      <w:pPr>
        <w:pStyle w:val="Compact"/>
        <w:numPr>
          <w:ilvl w:val="0"/>
          <w:numId w:val="1003"/>
        </w:numPr>
      </w:pPr>
      <w:r>
        <w:t xml:space="preserve">One hardware config, one run, no repeats. Run-to-run variance is unmeasured, and variance is what</w:t>
      </w:r>
      <w:r>
        <w:t xml:space="preserve"> </w:t>
      </w:r>
      <w:r>
        <w:t xml:space="preserve">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5"/>
    <w:bookmarkStart w:id="16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t xml:space="preserve">Default to a 4B-class model. On what's measured,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leads on content quality with perfect AC</w:t>
      </w:r>
      <w:r>
        <w:t xml:space="preserve"> </w:t>
      </w:r>
      <w:r>
        <w:t xml:space="preserve">coverage and required case-type presence across all four requirements, at 2.9 GB resident, the</w:t>
      </w:r>
      <w:r>
        <w:t xml:space="preserve"> </w:t>
      </w:r>
      <w:r>
        <w:t xml:space="preserve">smallest footprint of the three.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the latency leader but missed a required case type.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the most consistent on speed but had the weakest coverage result.</w:t>
      </w:r>
    </w:p>
    <w:p>
      <w:pPr>
        <w:pStyle w:val="BodyText"/>
      </w:pPr>
      <w:r>
        <w:t xml:space="preserve">This is provisional, not a decision. Four requirements per model can't separate them. It needs</w:t>
      </w:r>
      <w:r>
        <w:t xml:space="preserve"> </w:t>
      </w:r>
      <w:r>
        <w:t xml:space="preserve">confirming against the full twenty, and ideally against repeat runs, before it goes into an ADR as</w:t>
      </w:r>
      <w:r>
        <w:t xml:space="preserve"> </w:t>
      </w:r>
      <w:r>
        <w:t xml:space="preserve">settled.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t xml:space="preserve">Turns a provisional lean into an actual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t xml:space="preserve">Determines whether 8B is viable on 6 GB at all, or only with CPU offload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Evaluation thresholds have to come from measured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t xml:space="preserve">Otherwise every percentile is contaminated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t xml:space="preserve">Sticky. The dimension goes into the schema, and changing it later forces a re-embedding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Establishes how far the two deterministic metrics can be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Known first-run friction for anyone cloning the repo</w:t>
            </w:r>
          </w:p>
        </w:tc>
      </w:tr>
    </w:tbl>
    <w:bookmarkEnd w:id="17"/>
    <w:bookmarkStart w:id="19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18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NOVA_LIMIT=4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rStyle w:val="VerbatimChar"/>
        </w:rPr>
        <w:t xml:space="preserve">NOVA_LIMIT</w:t>
      </w:r>
      <w:r>
        <w:t xml:space="preserve"> </w:t>
      </w:r>
      <w:r>
        <w:t xml:space="preserve">for the full twenty.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rtifacts/" TargetMode="External" /><Relationship Type="http://schemas.openxmlformats.org/officeDocument/2006/relationships/hyperlink" Id="rId12" Target="artifacts/run-log-2026-09-07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rtifacts/" TargetMode="External" /><Relationship Type="http://schemas.openxmlformats.org/officeDocument/2006/relationships/hyperlink" Id="rId12" Target="artifacts/run-log-2026-09-07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2026-09-09T00:10:45Z</dcterms:created>
  <dcterms:modified xsi:type="dcterms:W3CDTF">2026-09-09T00:10:45Z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