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left"/>
      </w:pPr>
      <w:r>
        <w:rPr>
          <w:rFonts w:ascii="Times New Roman" w:cs="Times New Roman" w:eastAsia="Times New Roman" w:hAnsi="Times New Roman"/>
          <w:b w:val="false"/>
          <w:bCs w:val="false"/>
          <w:i/>
          <w:iCs/>
          <w:sz w:val="20"/>
          <w:szCs w:val="20"/>
        </w:rPr>
        <w:t xml:space="preserve">Revue bibliographique — Recalage des images rétiniennes et détection longitudinale des lésions de la rétinopathie diabétique</w:t>
      </w:r>
    </w:p>
    <w:p>
      <w:pPr>
        <w:spacing w:after="300" w:before="0" w:line="276"/>
        <w:jc w:val="left"/>
      </w:pPr>
      <w:r>
        <w:rPr>
          <w:rFonts w:ascii="Times New Roman" w:cs="Times New Roman" w:eastAsia="Times New Roman" w:hAnsi="Times New Roman"/>
          <w:b w:val="false"/>
          <w:bCs w:val="false"/>
          <w:i/>
          <w:iCs/>
          <w:sz w:val="20"/>
          <w:szCs w:val="20"/>
        </w:rPr>
        <w:t xml:space="preserve">Section à insérer après la section 3.7 · Ajouter les tableaux 3 et 4 à la liste des tableaux · Supprimer le bloc « recalage » devenu redondant si le tableau 1 est conservé en 3.3</w:t>
      </w:r>
    </w:p>
    <w:p>
      <w:pPr>
        <w:pStyle w:val="Heading2"/>
        <w:spacing w:after="160" w:before="280"/>
      </w:pPr>
      <w:r>
        <w:rPr>
          <w:rFonts w:ascii="Times New Roman" w:cs="Times New Roman" w:eastAsia="Times New Roman" w:hAnsi="Times New Roman"/>
          <w:b/>
          <w:bCs/>
          <w:sz w:val="25"/>
          <w:szCs w:val="25"/>
        </w:rPr>
        <w:t xml:space="preserve">3.8.  Métriques d'évaluation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L'évaluation d'une chaîne qui enchaîne recalage et détection exige deux familles d'indicateurs, issues de deux traditions de la littérature. Le recalage se mesure par la distance entre points de contrôle annotés, selon le protocole du jeu FIRE [2] ; la détection se mesure par la sensibilité et le nombre de faux positifs par image, selon la logique FROC employée par Adal et al. [3]. Le tableau 3 définit ces métriques et indique celles que le projet reprend ; le tableau 4 rassemble les valeurs de détection publiées qui serviront de points de comparaison, les valeurs de recalage figurant déjà aux tableaux 1 et 2.</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À ces deux familles s'ajoute un troisième ensemble d'indicateurs, propres aux étapes intermédiaires de la chaîne. La littérature n'en rapporte presque aucun, les méthodes publiées étant évaluées sur leur seule sortie. Un tel silence est tenable pour un système que l'on ne prétend pas inspecter ; il ne l'est pas ici, où l'explicabilité constitue l'argument central. Mesurer la qualité de la segmentation vasculaire, le nombre de bifurcations retenues et le taux d'inliers conservés par RANSAC permet de rattacher un échec de recalage à l'étape qui en est responsable — ce que [6] n'a précisément pas pu faire pour ses paires à faible recouvrement.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Les valeurs du tableau 4 appellent deux précautions de lecture. D'une part, elles proviennent de jeux de données et de protocoles différents : ce n'est pas un classement. D'autre part, l'unité de détection varie d'une étude à l'autre. [5] évalue une segmentation au niveau du pixel, tandis que [3] évalue des candidats appariés aux annotations à sept pixels près, de sorte qu'une sensibilité de 61,96 % et une sensibilité de 80 % ne se comparent pas directement. La spécificité et l'exactitude sont, pour la même raison, peu informatives sur des lésions qui occupent une infime fraction des pixels : [5] rapporte une spécificité de 99,81 % pour une sensibilité de 61,96 %.</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Deux précisions méthodologiques enfin. Les moyennes masquent les défaillances franches : [6] rapporte quelques paires dont l'erreur avoisine le millier de pixels, que sa MRE globale de 33,229 pixels dilue. Le taux d'échec est donc rapporté séparément. Et la détection longitudinale est intrinsèquement asymétrique : manquer une lésion apparue n'a pas le même coût clinique que déclarer à tort une disparition, ce que [4] traduit par des taux de faux positifs distincts (0,43 contre 1,6). Sensibilité et faux positifs sont en conséquence rapportés par classe de changement.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Le corpus ne contient enfin aucune métrique qui relie les deux étapes : aucune étude ne rapporte le nombre de faux positifs en fonction de l'erreur de recalage, ni la dégradation des deux étapes sous altération des images. Le projet ajoute ces deux mesures, réunies dans le dernier bloc du tableau 3. Elles ne s'appuient sur aucune référence publiée ; leur valeur tiendra à la rigueur de leur définition et à l'existence d'un jeu de données longitudinal à la fois recalable et annoté en lésions, qui reste à identifier.</w:t>
      </w:r>
    </w:p>
    <w:p>
      <w:pPr>
        <w:sectPr>
          <w:footerReference w:type="default" r:id="rId7"/>
          <w:pgSz w:w="11906" w:h="16838" w:orient="portrait"/>
          <w:pgMar w:top="1418" w:right="1276" w:bottom="1418" w:left="1276" w:header="708" w:footer="708" w:gutter="0"/>
          <w:pgNumType/>
          <w:docGrid w:linePitch="360"/>
        </w:sectPr>
      </w:pPr>
    </w:p>
    <w:p>
      <w:pPr>
        <w:spacing w:after="160" w:before="0" w:line="276"/>
        <w:jc w:val="left"/>
      </w:pPr>
      <w:r>
        <w:rPr>
          <w:rFonts w:ascii="Times New Roman" w:cs="Times New Roman" w:eastAsia="Times New Roman" w:hAnsi="Times New Roman"/>
          <w:b/>
          <w:bCs/>
          <w:i w:val="false"/>
          <w:iCs w:val="false"/>
          <w:sz w:val="22"/>
          <w:szCs w:val="22"/>
        </w:rPr>
        <w:t xml:space="preserve">Tableau 3 — Métriques d'évaluation de la chaîne de traitement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700"/>
        <w:gridCol w:w="1450"/>
        <w:gridCol w:w="3600"/>
        <w:gridCol w:w="2600"/>
        <w:gridCol w:w="1250"/>
        <w:gridCol w:w="3970"/>
      </w:tblGrid>
      <w:tr>
        <w:trPr>
          <w:tblHeader/>
        </w:trPr>
        <w:tc>
          <w:tcPr>
            <w:tcW w:type="dxa" w:w="1700"/>
            <w:shd w:fill="E7E6E6" w:val="clear"/>
            <w:tcMar>
              <w:top w:type="dxa" w:w="60"/>
              <w:left w:type="dxa" w:w="80"/>
              <w:bottom w:type="dxa" w:w="60"/>
              <w:right w:type="dxa" w:w="80"/>
            </w:tcMar>
          </w:tcPr>
          <w:p>
            <w:pPr>
              <w:spacing w:after="0" w:line="220"/>
              <w:jc w:val="left"/>
            </w:pPr>
            <w:r>
              <w:rPr>
                <w:rFonts w:ascii="Times New Roman" w:cs="Times New Roman" w:eastAsia="Times New Roman" w:hAnsi="Times New Roman"/>
                <w:b/>
                <w:bCs/>
                <w:i w:val="false"/>
                <w:iCs w:val="false"/>
                <w:sz w:val="16"/>
                <w:szCs w:val="16"/>
              </w:rPr>
              <w:t xml:space="preserve">Métrique</w:t>
            </w:r>
          </w:p>
        </w:tc>
        <w:tc>
          <w:tcPr>
            <w:tcW w:type="dxa" w:w="1450"/>
            <w:shd w:fill="E7E6E6" w:val="clear"/>
            <w:tcMar>
              <w:top w:type="dxa" w:w="60"/>
              <w:left w:type="dxa" w:w="80"/>
              <w:bottom w:type="dxa" w:w="60"/>
              <w:right w:type="dxa" w:w="80"/>
            </w:tcMar>
          </w:tcPr>
          <w:p>
            <w:pPr>
              <w:spacing w:after="0" w:line="220"/>
              <w:jc w:val="left"/>
            </w:pPr>
            <w:r>
              <w:rPr>
                <w:rFonts w:ascii="Times New Roman" w:cs="Times New Roman" w:eastAsia="Times New Roman" w:hAnsi="Times New Roman"/>
                <w:b/>
                <w:bCs/>
                <w:i w:val="false"/>
                <w:iCs w:val="false"/>
                <w:sz w:val="16"/>
                <w:szCs w:val="16"/>
              </w:rPr>
              <w:t xml:space="preserve">Mesure</w:t>
            </w:r>
          </w:p>
        </w:tc>
        <w:tc>
          <w:tcPr>
            <w:tcW w:type="dxa" w:w="3600"/>
            <w:shd w:fill="E7E6E6" w:val="clear"/>
            <w:tcMar>
              <w:top w:type="dxa" w:w="60"/>
              <w:left w:type="dxa" w:w="80"/>
              <w:bottom w:type="dxa" w:w="60"/>
              <w:right w:type="dxa" w:w="80"/>
            </w:tcMar>
          </w:tcPr>
          <w:p>
            <w:pPr>
              <w:spacing w:after="0" w:line="220"/>
              <w:jc w:val="left"/>
            </w:pPr>
            <w:r>
              <w:rPr>
                <w:rFonts w:ascii="Times New Roman" w:cs="Times New Roman" w:eastAsia="Times New Roman" w:hAnsi="Times New Roman"/>
                <w:b/>
                <w:bCs/>
                <w:i w:val="false"/>
                <w:iCs w:val="false"/>
                <w:sz w:val="16"/>
                <w:szCs w:val="16"/>
              </w:rPr>
              <w:t xml:space="preserve">Définition</w:t>
            </w:r>
          </w:p>
        </w:tc>
        <w:tc>
          <w:tcPr>
            <w:tcW w:type="dxa" w:w="2600"/>
            <w:shd w:fill="E7E6E6" w:val="clear"/>
            <w:tcMar>
              <w:top w:type="dxa" w:w="60"/>
              <w:left w:type="dxa" w:w="80"/>
              <w:bottom w:type="dxa" w:w="60"/>
              <w:right w:type="dxa" w:w="80"/>
            </w:tcMar>
          </w:tcPr>
          <w:p>
            <w:pPr>
              <w:spacing w:after="0" w:line="220"/>
              <w:jc w:val="left"/>
            </w:pPr>
            <w:r>
              <w:rPr>
                <w:rFonts w:ascii="Times New Roman" w:cs="Times New Roman" w:eastAsia="Times New Roman" w:hAnsi="Times New Roman"/>
                <w:b/>
                <w:bCs/>
                <w:i w:val="false"/>
                <w:iCs w:val="false"/>
                <w:sz w:val="16"/>
                <w:szCs w:val="16"/>
              </w:rPr>
              <w:t xml:space="preserve">Protocole ou seuil</w:t>
            </w:r>
          </w:p>
        </w:tc>
        <w:tc>
          <w:tcPr>
            <w:tcW w:type="dxa" w:w="1250"/>
            <w:shd w:fill="E7E6E6" w:val="clear"/>
            <w:tcMar>
              <w:top w:type="dxa" w:w="60"/>
              <w:left w:type="dxa" w:w="80"/>
              <w:bottom w:type="dxa" w:w="60"/>
              <w:right w:type="dxa" w:w="80"/>
            </w:tcMar>
          </w:tcPr>
          <w:p>
            <w:pPr>
              <w:spacing w:after="0" w:line="220"/>
              <w:jc w:val="left"/>
            </w:pPr>
            <w:r>
              <w:rPr>
                <w:rFonts w:ascii="Times New Roman" w:cs="Times New Roman" w:eastAsia="Times New Roman" w:hAnsi="Times New Roman"/>
                <w:b/>
                <w:bCs/>
                <w:i w:val="false"/>
                <w:iCs w:val="false"/>
                <w:sz w:val="16"/>
                <w:szCs w:val="16"/>
              </w:rPr>
              <w:t xml:space="preserve">Source</w:t>
            </w:r>
          </w:p>
        </w:tc>
        <w:tc>
          <w:tcPr>
            <w:tcW w:type="dxa" w:w="3970"/>
            <w:shd w:fill="E7E6E6" w:val="clear"/>
            <w:tcMar>
              <w:top w:type="dxa" w:w="60"/>
              <w:left w:type="dxa" w:w="80"/>
              <w:bottom w:type="dxa" w:w="60"/>
              <w:right w:type="dxa" w:w="80"/>
            </w:tcMar>
          </w:tcPr>
          <w:p>
            <w:pPr>
              <w:spacing w:after="0" w:line="220"/>
              <w:jc w:val="left"/>
            </w:pPr>
            <w:r>
              <w:rPr>
                <w:rFonts w:ascii="Times New Roman" w:cs="Times New Roman" w:eastAsia="Times New Roman" w:hAnsi="Times New Roman"/>
                <w:b/>
                <w:bCs/>
                <w:i w:val="false"/>
                <w:iCs w:val="false"/>
                <w:sz w:val="16"/>
                <w:szCs w:val="16"/>
              </w:rPr>
              <w:t xml:space="preserve">Reprise dans le projet</w:t>
            </w:r>
          </w:p>
        </w:tc>
      </w:tr>
      <w:tr>
        <w:tc>
          <w:tcPr>
            <w:tcW w:type="dxa" w:w="14570"/>
            <w:gridSpan w:val="6"/>
            <w:shd w:fill="D9D9D9" w:val="clear"/>
            <w:tcMar>
              <w:top w:type="dxa" w:w="70"/>
              <w:left w:type="dxa" w:w="80"/>
              <w:bottom w:type="dxa" w:w="70"/>
              <w:right w:type="dxa" w:w="80"/>
            </w:tcMar>
          </w:tcPr>
          <w:p>
            <w:r>
              <w:rPr>
                <w:rFonts w:ascii="Times New Roman" w:cs="Times New Roman" w:eastAsia="Times New Roman" w:hAnsi="Times New Roman"/>
                <w:b/>
                <w:bCs/>
                <w:sz w:val="16"/>
                <w:szCs w:val="16"/>
              </w:rPr>
              <w:t xml:space="preserve">Étapes intermédiaires de la chaîne — diagnostic interne</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Qualité de la segmentation vasculaire</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Fiabilité de l'extraction</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Coefficient de Dice entre le réseau vasculaire segmenté et la segmentation de référence.</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Bases annotées DRIVE et STARE</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[7]</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Ajoutée. Conditionne tout le reste de la chaîne : [1] signale que la segmentation se dégrade à mesure que la maladie progresse.</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Nombre de bifurcations détectées</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Densité des points de contrôle</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Nombre de bifurcations retenues par image, et leur répartition dans le champ.</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Par image ; à distinguer par catégorie de paire</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Aucune</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Ajoutée. Un nombre insuffisant ou une répartition trop locale rend l'estimation de la transformation instable.</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Taux d'inliers après RANSAC</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Qualité de l'appariement</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Proportion des correspondances initiales conservées par RANSAC, et nombre absolu d'inliers.</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Par paire ; seuil de consensus à fixer</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Aucune</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Ajoutée. Principal instrument de diagnostic : relie un échec de recalage à son étape responsable (segmentation, description ou appariement).</w:t>
            </w:r>
          </w:p>
        </w:tc>
      </w:tr>
      <w:tr>
        <w:tc>
          <w:tcPr>
            <w:tcW w:type="dxa" w:w="14570"/>
            <w:gridSpan w:val="6"/>
            <w:shd w:fill="D9D9D9" w:val="clear"/>
            <w:tcMar>
              <w:top w:type="dxa" w:w="70"/>
              <w:left w:type="dxa" w:w="80"/>
              <w:bottom w:type="dxa" w:w="70"/>
              <w:right w:type="dxa" w:w="80"/>
            </w:tcMar>
          </w:tcPr>
          <w:p>
            <w:r>
              <w:rPr>
                <w:rFonts w:ascii="Times New Roman" w:cs="Times New Roman" w:eastAsia="Times New Roman" w:hAnsi="Times New Roman"/>
                <w:b/>
                <w:bCs/>
                <w:sz w:val="16"/>
                <w:szCs w:val="16"/>
              </w:rPr>
              <w:t xml:space="preserve">Étape 1 — Recalage, évalué sur FIRE</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Erreur moyenne de recalage (MRE) et écart-type</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Précision</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Moyenne des distances euclidiennes, en pixels, entre les points de contrôle annotés de l'image de référence et leurs homologues de l'image mobile après transformation ; moyenne et écart-type calculés par paire puis par catégorie.</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10 points annotés par paire ; images de 2 912 × 2 912 px ; catégories S (71), P (49), A (14) et ensemble (134)</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[2], [6]</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Reprise telle quelle ; résultats rapportés séparément pour S, P et A.</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Courbe de succès</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Robustesse</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Pourcentage de paires correctement recalées en fonction du seuil d'erreur toléré.</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Seuil croissant jusqu'à 25 px</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[2], [6], [7]</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Reprise.</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Aire sous la courbe de succès (AUC)</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Indicateur de synthèse</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Aire sous la courbe de succès entre 0 et 25 px, ramenée à une valeur comprise entre 0 et 1 (normalisation à confirmer dans [2]).</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Seuil de 25 px, adopté par les travaux ultérieurs</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[2], [6], [7]</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Reprise ; indicateur principal de comparaison avec [6] et [7].</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Taux d'échec</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Défaillances franches</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Proportion de paires dont l'erreur dépasse un seuil d'échec, rapportée séparément de la moyenne.</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Seuil d'échec à fixer (de l'ordre de 25 px) ; par catégorie</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Aucune (constat tiré de [6])</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Ajoutée. La moyenne masque les défaillances : [6] rapporte quelques paires à près de mille pixels d'erreur, sans en élucider la cause.</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Validation visuelle</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Contrôle qualitatif</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Inspection de la superposition des deux images après recalage, par damier et par animation alternée.</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Qualitatif</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[7]</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Reprise en complément des mesures chiffrées.</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Temps de calcul par paire</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Coût</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Durée de traitement d'une paire d'images, en secondes, matériel précisé.</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Matériel de mesure à préciser</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Mesure propre ; [7] cité comme point de comparaison</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Reprise ; intégrée à l'analyse du coût de calcul.</w:t>
            </w:r>
          </w:p>
        </w:tc>
      </w:tr>
      <w:tr>
        <w:tc>
          <w:tcPr>
            <w:tcW w:type="dxa" w:w="14570"/>
            <w:gridSpan w:val="6"/>
            <w:shd w:fill="D9D9D9" w:val="clear"/>
            <w:tcMar>
              <w:top w:type="dxa" w:w="70"/>
              <w:left w:type="dxa" w:w="80"/>
              <w:bottom w:type="dxa" w:w="70"/>
              <w:right w:type="dxa" w:w="80"/>
            </w:tcMar>
          </w:tcPr>
          <w:p>
            <w:r>
              <w:rPr>
                <w:rFonts w:ascii="Times New Roman" w:cs="Times New Roman" w:eastAsia="Times New Roman" w:hAnsi="Times New Roman"/>
                <w:b/>
                <w:bCs/>
                <w:sz w:val="16"/>
                <w:szCs w:val="16"/>
              </w:rPr>
              <w:t xml:space="preserve">Étape 2 — Détection des lésions et des changements, réglée et validée sur IDRiD</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Critère d'appariement</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Définition du vrai positif</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Un candidat est un vrai positif si son centre se situe à moins d'une tolérance donnée d'une annotation de référence.</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Tolérance de 7 px dans [3] ; référence de trois experts fusionnée par STAPLE</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[3]</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Principe repris ; tolérance à adapter à la résolution des images d'IDRiD et à sa référence.</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Sensibilité</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Lésions retrouvées</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Rapport entre le nombre de lésions de référence détectées et le nombre total de lésions de référence.</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Par type de lésion</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[3], [4], [5]</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Reprise ; indicateur principal du détecteur.</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Faux positifs par image</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Fausses alarmes</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Nombre moyen de candidats ne correspondant à aucune lésion de référence, rapporté à l'image ou à l'œil.</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Grand champ et macula distingués dans [3]</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[3], [4]</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Reprise ; disque optique et fovéa exclus du calcul grâce aux coordonnées fournies par IDRiD.</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Sensibilité et faux positifs par classe de changement</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Asymétrie du suivi</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Sensibilité et faux positifs calculés séparément pour les lésions nouvelles et pour les lésions disparues.</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Par classe ; paires longitudinales</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[4]</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Ajoutée. [4] rapporte 0,43 et 1,6 faux positif selon le sens : manquer une lésion nouvelle n'a pas le même coût clinique que déclarer à tort une disparition.</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Courbe FROC</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Compromis sensibilité / fausses alarmes</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Sensibilité en fonction du nombre moyen de faux positifs par image, lorsque le seuil de détection varie.</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Protocole FROC de [3]</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[3]</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Reprise ; courbe de décision du détecteur.</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Origine des faux positifs</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Diagnostic des erreurs</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Répartition des faux positifs selon leur cause : taches sombres, vaisseaux affectés par des artefacts d'éclairage, zones à faible rapport signal sur bruit.</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Répartition en pourcentage</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[3]</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Reprise ; relie les erreurs aux trois critères de filtrage explicites.</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Spécificité, exactitude, AUC ROC</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Classification</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Mesures de classification au niveau du pixel ou de la visite.</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Selon l'étude</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[4], [5]</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Rapportées à titre de comparaison uniquement : dominées par les pixels sains, elles renseignent peu sur la détection de lésions minuscules.</w:t>
            </w:r>
          </w:p>
        </w:tc>
      </w:tr>
      <w:tr>
        <w:tc>
          <w:tcPr>
            <w:tcW w:type="dxa" w:w="14570"/>
            <w:gridSpan w:val="6"/>
            <w:shd w:fill="D9D9D9" w:val="clear"/>
            <w:tcMar>
              <w:top w:type="dxa" w:w="70"/>
              <w:left w:type="dxa" w:w="80"/>
              <w:bottom w:type="dxa" w:w="70"/>
              <w:right w:type="dxa" w:w="80"/>
            </w:tcMar>
          </w:tcPr>
          <w:p>
            <w:r>
              <w:rPr>
                <w:rFonts w:ascii="Times New Roman" w:cs="Times New Roman" w:eastAsia="Times New Roman" w:hAnsi="Times New Roman"/>
                <w:b/>
                <w:bCs/>
                <w:sz w:val="16"/>
                <w:szCs w:val="16"/>
              </w:rPr>
              <w:t xml:space="preserve">Chaîne complète — mesures ajoutées par le projet, absentes de la littérature étudiée</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Faux positifs selon l'erreur de recalage</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Lien entre les deux étapes</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Faux positifs par image calculés par classes d'erreur de recalage, afin de déterminer si les fausses alarmes proviennent de l'alignement ou du détecteur.</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Exige des paires longitudinales à la fois recalables et annotées en lésions ; jeu de données à identifier</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Aucune</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Proposition du projet ; comble la discontinuité décrite en section 4.</w:t>
            </w:r>
          </w:p>
        </w:tc>
      </w:tr>
      <w:tr>
        <w:tc>
          <w:tcPr>
            <w:tcW w:type="dxa" w:w="17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Robustesse aux dégradations</w:t>
            </w:r>
          </w:p>
        </w:tc>
        <w:tc>
          <w:tcPr>
            <w:tcW w:type="dxa" w:w="14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Stabilité de la chaîne</w:t>
            </w:r>
          </w:p>
        </w:tc>
        <w:tc>
          <w:tcPr>
            <w:tcW w:type="dxa" w:w="3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Variation de l'erreur de recalage, de l'AUC et de la sensibilité sous variation d'éclairage, bruit et compression JPEG, par rapport aux images non dégradées.</w:t>
            </w:r>
          </w:p>
        </w:tc>
        <w:tc>
          <w:tcPr>
            <w:tcW w:type="dxa" w:w="26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Niveaux de dégradation à fixer</w:t>
            </w:r>
          </w:p>
        </w:tc>
        <w:tc>
          <w:tcPr>
            <w:tcW w:type="dxa" w:w="125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Aucune</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Proposition du projet (section 5) ; pertinente pour la télé-ophtalmologie.</w:t>
            </w:r>
          </w:p>
        </w:tc>
      </w:tr>
    </w:tbl>
    <w:p>
      <w:pPr>
        <w:spacing w:after="240" w:before="100"/>
        <w:jc w:val="left"/>
      </w:pPr>
      <w:r>
        <w:rPr>
          <w:rFonts w:ascii="Times New Roman" w:cs="Times New Roman" w:eastAsia="Times New Roman" w:hAnsi="Times New Roman"/>
          <w:i/>
          <w:iCs/>
          <w:sz w:val="19"/>
          <w:szCs w:val="19"/>
        </w:rPr>
        <w:t xml:space="preserve">Les sources renvoient à la liste des références bibliographiques. Les lignes marquées « Ajoutée » et le dernier bloc sont des propositions du projet.</w:t>
      </w:r>
    </w:p>
    <w:p>
      <w:r>
        <w:br w:type="page"/>
      </w:r>
    </w:p>
    <w:p>
      <w:pPr>
        <w:spacing w:after="160" w:before="0" w:line="276"/>
        <w:jc w:val="left"/>
      </w:pPr>
      <w:r>
        <w:rPr>
          <w:rFonts w:ascii="Times New Roman" w:cs="Times New Roman" w:eastAsia="Times New Roman" w:hAnsi="Times New Roman"/>
          <w:b/>
          <w:bCs/>
          <w:i w:val="false"/>
          <w:iCs w:val="false"/>
          <w:sz w:val="22"/>
          <w:szCs w:val="22"/>
        </w:rPr>
        <w:t xml:space="preserve">Tableau 4 — Valeurs de référence publiées pour la détection des lésions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800"/>
        <w:gridCol w:w="3300"/>
        <w:gridCol w:w="3970"/>
      </w:tblGrid>
      <w:tr>
        <w:trPr>
          <w:tblHeader/>
        </w:trPr>
        <w:tc>
          <w:tcPr>
            <w:tcW w:type="dxa" w:w="2200"/>
            <w:shd w:fill="E7E6E6" w:val="clear"/>
            <w:tcMar>
              <w:top w:type="dxa" w:w="60"/>
              <w:left w:type="dxa" w:w="80"/>
              <w:bottom w:type="dxa" w:w="60"/>
              <w:right w:type="dxa" w:w="80"/>
            </w:tcMar>
          </w:tcPr>
          <w:p>
            <w:pPr>
              <w:spacing w:after="0" w:line="220"/>
              <w:jc w:val="left"/>
            </w:pPr>
            <w:r>
              <w:rPr>
                <w:rFonts w:ascii="Times New Roman" w:cs="Times New Roman" w:eastAsia="Times New Roman" w:hAnsi="Times New Roman"/>
                <w:b/>
                <w:bCs/>
                <w:i w:val="false"/>
                <w:iCs w:val="false"/>
                <w:sz w:val="16"/>
                <w:szCs w:val="16"/>
              </w:rPr>
              <w:t xml:space="preserve">Métrique</w:t>
            </w:r>
          </w:p>
        </w:tc>
        <w:tc>
          <w:tcPr>
            <w:tcW w:type="dxa" w:w="2300"/>
            <w:shd w:fill="E7E6E6" w:val="clear"/>
            <w:tcMar>
              <w:top w:type="dxa" w:w="60"/>
              <w:left w:type="dxa" w:w="80"/>
              <w:bottom w:type="dxa" w:w="60"/>
              <w:right w:type="dxa" w:w="80"/>
            </w:tcMar>
          </w:tcPr>
          <w:p>
            <w:pPr>
              <w:spacing w:after="0" w:line="220"/>
              <w:jc w:val="left"/>
            </w:pPr>
            <w:r>
              <w:rPr>
                <w:rFonts w:ascii="Times New Roman" w:cs="Times New Roman" w:eastAsia="Times New Roman" w:hAnsi="Times New Roman"/>
                <w:b/>
                <w:bCs/>
                <w:i w:val="false"/>
                <w:iCs w:val="false"/>
                <w:sz w:val="16"/>
                <w:szCs w:val="16"/>
              </w:rPr>
              <w:t xml:space="preserve">Méthode (réf.)</w:t>
            </w:r>
          </w:p>
        </w:tc>
        <w:tc>
          <w:tcPr>
            <w:tcW w:type="dxa" w:w="2800"/>
            <w:shd w:fill="E7E6E6" w:val="clear"/>
            <w:tcMar>
              <w:top w:type="dxa" w:w="60"/>
              <w:left w:type="dxa" w:w="80"/>
              <w:bottom w:type="dxa" w:w="60"/>
              <w:right w:type="dxa" w:w="80"/>
            </w:tcMar>
          </w:tcPr>
          <w:p>
            <w:pPr>
              <w:spacing w:after="0" w:line="220"/>
              <w:jc w:val="left"/>
            </w:pPr>
            <w:r>
              <w:rPr>
                <w:rFonts w:ascii="Times New Roman" w:cs="Times New Roman" w:eastAsia="Times New Roman" w:hAnsi="Times New Roman"/>
                <w:b/>
                <w:bCs/>
                <w:i w:val="false"/>
                <w:iCs w:val="false"/>
                <w:sz w:val="16"/>
                <w:szCs w:val="16"/>
              </w:rPr>
              <w:t xml:space="preserve">Données</w:t>
            </w:r>
          </w:p>
        </w:tc>
        <w:tc>
          <w:tcPr>
            <w:tcW w:type="dxa" w:w="3300"/>
            <w:shd w:fill="E7E6E6" w:val="clear"/>
            <w:tcMar>
              <w:top w:type="dxa" w:w="60"/>
              <w:left w:type="dxa" w:w="80"/>
              <w:bottom w:type="dxa" w:w="60"/>
              <w:right w:type="dxa" w:w="80"/>
            </w:tcMar>
          </w:tcPr>
          <w:p>
            <w:pPr>
              <w:spacing w:after="0" w:line="220"/>
              <w:jc w:val="left"/>
            </w:pPr>
            <w:r>
              <w:rPr>
                <w:rFonts w:ascii="Times New Roman" w:cs="Times New Roman" w:eastAsia="Times New Roman" w:hAnsi="Times New Roman"/>
                <w:b/>
                <w:bCs/>
                <w:i w:val="false"/>
                <w:iCs w:val="false"/>
                <w:sz w:val="16"/>
                <w:szCs w:val="16"/>
              </w:rPr>
              <w:t xml:space="preserve">Valeur publiée</w:t>
            </w:r>
          </w:p>
        </w:tc>
        <w:tc>
          <w:tcPr>
            <w:tcW w:type="dxa" w:w="3970"/>
            <w:shd w:fill="E7E6E6" w:val="clear"/>
            <w:tcMar>
              <w:top w:type="dxa" w:w="60"/>
              <w:left w:type="dxa" w:w="80"/>
              <w:bottom w:type="dxa" w:w="60"/>
              <w:right w:type="dxa" w:w="80"/>
            </w:tcMar>
          </w:tcPr>
          <w:p>
            <w:pPr>
              <w:spacing w:after="0" w:line="220"/>
              <w:jc w:val="left"/>
            </w:pPr>
            <w:r>
              <w:rPr>
                <w:rFonts w:ascii="Times New Roman" w:cs="Times New Roman" w:eastAsia="Times New Roman" w:hAnsi="Times New Roman"/>
                <w:b/>
                <w:bCs/>
                <w:i w:val="false"/>
                <w:iCs w:val="false"/>
                <w:sz w:val="16"/>
                <w:szCs w:val="16"/>
              </w:rPr>
              <w:t xml:space="preserve">Remarque</w:t>
            </w:r>
          </w:p>
        </w:tc>
      </w:tr>
      <w:tr>
        <w:tc>
          <w:tcPr>
            <w:tcW w:type="dxa" w:w="22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Sensibilité et faux positifs</w:t>
            </w:r>
          </w:p>
        </w:tc>
        <w:tc>
          <w:tcPr>
            <w:tcW w:type="dxa" w:w="2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Adal et al. [3]</w:t>
            </w:r>
          </w:p>
        </w:tc>
        <w:tc>
          <w:tcPr>
            <w:tcW w:type="dxa" w:w="28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Rotterdam : 41 yeux de test, quatre champs par œil</w:t>
            </w:r>
          </w:p>
        </w:tc>
        <w:tc>
          <w:tcPr>
            <w:tcW w:type="dxa" w:w="3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80 % à 2,5 faux positifs par œil (quatre champs) ; 80 % à 1 faux positif par œil (macula)</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Détection de changements entre deux visites. Données non publiques ; qualité du recalage non mesurée.</w:t>
            </w:r>
          </w:p>
        </w:tc>
      </w:tr>
      <w:tr>
        <w:tc>
          <w:tcPr>
            <w:tcW w:type="dxa" w:w="22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Sensibilité avant filtrage</w:t>
            </w:r>
          </w:p>
        </w:tc>
        <w:tc>
          <w:tcPr>
            <w:tcW w:type="dxa" w:w="2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Adal et al. [3]</w:t>
            </w:r>
          </w:p>
        </w:tc>
        <w:tc>
          <w:tcPr>
            <w:tcW w:type="dxa" w:w="28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Rotterdam</w:t>
            </w:r>
          </w:p>
        </w:tc>
        <w:tc>
          <w:tcPr>
            <w:tcW w:type="dxa" w:w="3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98 % (grand champ) ; 97 % (macula)</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Étape de détection seule, avant classification des candidats. Fixe le plafond atteignable par le filtrage.</w:t>
            </w:r>
          </w:p>
        </w:tc>
      </w:tr>
      <w:tr>
        <w:tc>
          <w:tcPr>
            <w:tcW w:type="dxa" w:w="22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Origine des faux positifs</w:t>
            </w:r>
          </w:p>
        </w:tc>
        <w:tc>
          <w:tcPr>
            <w:tcW w:type="dxa" w:w="2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Adal et al. [3]</w:t>
            </w:r>
          </w:p>
        </w:tc>
        <w:tc>
          <w:tcPr>
            <w:tcW w:type="dxa" w:w="28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Rotterdam</w:t>
            </w:r>
          </w:p>
        </w:tc>
        <w:tc>
          <w:tcPr>
            <w:tcW w:type="dxa" w:w="3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63 % taches sombres ; 18 % vaisseaux et artefacts d'éclairage ; 19 % faible rapport signal sur bruit</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Fonde les trois critères de filtrage explicites du projet.</w:t>
            </w:r>
          </w:p>
        </w:tc>
      </w:tr>
      <w:tr>
        <w:tc>
          <w:tcPr>
            <w:tcW w:type="dxa" w:w="22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Sensibilité et faux positifs par classe</w:t>
            </w:r>
          </w:p>
        </w:tc>
        <w:tc>
          <w:tcPr>
            <w:tcW w:type="dxa" w:w="2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EyeMark [4]</w:t>
            </w:r>
          </w:p>
        </w:tc>
        <w:tc>
          <w:tcPr>
            <w:tcW w:type="dxa" w:w="28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Sept paires annotées par un seul expert</w:t>
            </w:r>
          </w:p>
        </w:tc>
        <w:tc>
          <w:tcPr>
            <w:tcW w:type="dxa" w:w="3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100 % pour les lésions nouvelles et disparues ; 0,43 et 1,6 faux positif en moyenne</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Effectif trop faible pour conclure. Seule source donnant les deux classes séparément.</w:t>
            </w:r>
          </w:p>
        </w:tc>
      </w:tr>
      <w:tr>
        <w:tc>
          <w:tcPr>
            <w:tcW w:type="dxa" w:w="22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Sensibilité / spécificité / AUROC</w:t>
            </w:r>
          </w:p>
        </w:tc>
        <w:tc>
          <w:tcPr>
            <w:tcW w:type="dxa" w:w="2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EyeArt [4]</w:t>
            </w:r>
          </w:p>
        </w:tc>
        <w:tc>
          <w:tcPr>
            <w:tcW w:type="dxa" w:w="28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40 542 images, 5 084 visites</w:t>
            </w:r>
          </w:p>
        </w:tc>
        <w:tc>
          <w:tcPr>
            <w:tcW w:type="dxa" w:w="3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90 % / 63,2 % / 0,879</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Dépistage sur visite unique : non longitudinal, non comparable au reste du tableau.</w:t>
            </w:r>
          </w:p>
        </w:tc>
      </w:tr>
      <w:tr>
        <w:tc>
          <w:tcPr>
            <w:tcW w:type="dxa" w:w="22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Sensibilité</w:t>
            </w:r>
          </w:p>
        </w:tc>
        <w:tc>
          <w:tcPr>
            <w:tcW w:type="dxa" w:w="2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MResUNet [5]</w:t>
            </w:r>
          </w:p>
        </w:tc>
        <w:tc>
          <w:tcPr>
            <w:tcW w:type="dxa" w:w="28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IDRiD (81 images annotées)</w:t>
            </w:r>
          </w:p>
        </w:tc>
        <w:tc>
          <w:tcPr>
            <w:tcW w:type="dxa" w:w="3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61,96 % (spécificité 99,81 % ; exactitude 99,76 %)</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Segmentation au niveau du pixel. Point de comparaison principal du détecteur du projet, évalué sur les mêmes images.</w:t>
            </w:r>
          </w:p>
        </w:tc>
      </w:tr>
      <w:tr>
        <w:tc>
          <w:tcPr>
            <w:tcW w:type="dxa" w:w="22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Sensibilité</w:t>
            </w:r>
          </w:p>
        </w:tc>
        <w:tc>
          <w:tcPr>
            <w:tcW w:type="dxa" w:w="2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MResUNet [5]</w:t>
            </w:r>
          </w:p>
        </w:tc>
        <w:tc>
          <w:tcPr>
            <w:tcW w:type="dxa" w:w="28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DiaretDB1</w:t>
            </w:r>
          </w:p>
        </w:tc>
        <w:tc>
          <w:tcPr>
            <w:tcW w:type="dxa" w:w="3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85,87 %</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Annotations de petits points rouges, moins exigeantes que celles d'IDRiD.</w:t>
            </w:r>
          </w:p>
        </w:tc>
      </w:tr>
      <w:tr>
        <w:tc>
          <w:tcPr>
            <w:tcW w:type="dxa" w:w="22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Sensibilité</w:t>
            </w:r>
          </w:p>
        </w:tc>
        <w:tc>
          <w:tcPr>
            <w:tcW w:type="dxa" w:w="2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Sarhan et al., cité par [5]</w:t>
            </w:r>
          </w:p>
        </w:tc>
        <w:tc>
          <w:tcPr>
            <w:tcW w:type="dxa" w:w="28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IDRiD</w:t>
            </w:r>
          </w:p>
        </w:tc>
        <w:tc>
          <w:tcPr>
            <w:tcW w:type="dxa" w:w="330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46,26 %</w:t>
            </w:r>
          </w:p>
        </w:tc>
        <w:tc>
          <w:tcPr>
            <w:tcW w:type="dxa" w:w="3970"/>
            <w:tcMar>
              <w:top w:type="dxa" w:w="60"/>
              <w:left w:type="dxa" w:w="80"/>
              <w:bottom w:type="dxa" w:w="60"/>
              <w:right w:type="dxa" w:w="80"/>
            </w:tcMar>
          </w:tcPr>
          <w:p>
            <w:pPr>
              <w:spacing w:after="0" w:line="220"/>
              <w:jc w:val="left"/>
            </w:pPr>
            <w:r>
              <w:rPr>
                <w:rFonts w:ascii="Times New Roman" w:cs="Times New Roman" w:eastAsia="Times New Roman" w:hAnsi="Times New Roman"/>
                <w:b w:val="false"/>
                <w:bCs w:val="false"/>
                <w:i w:val="false"/>
                <w:iCs w:val="false"/>
                <w:sz w:val="15"/>
                <w:szCs w:val="15"/>
              </w:rPr>
              <w:t xml:space="preserve">Valeur rapportée par [5], non vérifiée dans l'article d'origine.</w:t>
            </w:r>
          </w:p>
        </w:tc>
      </w:tr>
    </w:tbl>
    <w:p>
      <w:pPr>
        <w:spacing w:after="240" w:before="100"/>
        <w:jc w:val="left"/>
      </w:pPr>
      <w:r>
        <w:rPr>
          <w:rFonts w:ascii="Times New Roman" w:cs="Times New Roman" w:eastAsia="Times New Roman" w:hAnsi="Times New Roman"/>
          <w:i/>
          <w:iCs/>
          <w:sz w:val="19"/>
          <w:szCs w:val="19"/>
        </w:rPr>
        <w:t xml:space="preserve">Les chiffres sont reportés tels que publiés, sur des jeux de données et des protocoles différents ; ce tableau ne constitue pas un classement. Les valeurs de référence du recalage figurent aux tableaux 1 et 2.</w:t>
      </w:r>
    </w:p>
    <w:p>
      <w:pPr>
        <w:sectPr>
          <w:footerReference w:type="default" r:id="rId8"/>
          <w:pgSz w:w="16838" w:h="11906" w:orient="landscape"/>
          <w:pgMar w:top="1134" w:right="1134" w:bottom="1134" w:left="1134" w:header="708" w:footer="708" w:gutter="0"/>
          <w:pgNumType/>
          <w:docGrid w:linePitch="360"/>
        </w:sectPr>
      </w:pPr>
    </w:p>
    <w:p>
      <w:pPr>
        <w:spacing w:after="160" w:before="200" w:line="276"/>
        <w:jc w:val="left"/>
      </w:pPr>
      <w:r>
        <w:rPr>
          <w:rFonts w:ascii="Times New Roman" w:cs="Times New Roman" w:eastAsia="Times New Roman" w:hAnsi="Times New Roman"/>
          <w:b/>
          <w:bCs/>
          <w:i w:val="false"/>
          <w:iCs w:val="false"/>
          <w:sz w:val="24"/>
          <w:szCs w:val="24"/>
        </w:rPr>
        <w:t xml:space="preserve">Points à vérifier avant la remise</w:t>
      </w:r>
    </w:p>
    <w:p>
      <w:pPr>
        <w:pStyle w:val="ListParagraph"/>
        <w:numPr>
          <w:ilvl w:val="0"/>
          <w:numId w:val="1"/>
        </w:numPr>
        <w:spacing w:after="80" w:line="264"/>
        <w:jc w:val="both"/>
      </w:pPr>
      <w:r>
        <w:rPr>
          <w:rFonts w:ascii="Times New Roman" w:cs="Times New Roman" w:eastAsia="Times New Roman" w:hAnsi="Times New Roman"/>
          <w:sz w:val="21"/>
          <w:szCs w:val="21"/>
        </w:rPr>
        <w:t xml:space="preserve">Formule exacte de l'erreur et normalisation de l'aire sous la courbe de succès, dans la publication FIRE [2].</w:t>
      </w:r>
    </w:p>
    <w:p>
      <w:pPr>
        <w:pStyle w:val="ListParagraph"/>
        <w:numPr>
          <w:ilvl w:val="0"/>
          <w:numId w:val="1"/>
        </w:numPr>
        <w:spacing w:after="80" w:line="264"/>
        <w:jc w:val="both"/>
      </w:pPr>
      <w:r>
        <w:rPr>
          <w:rFonts w:ascii="Times New Roman" w:cs="Times New Roman" w:eastAsia="Times New Roman" w:hAnsi="Times New Roman"/>
          <w:sz w:val="21"/>
          <w:szCs w:val="21"/>
        </w:rPr>
        <w:t xml:space="preserve">Valeurs du tableau 1 de [6] et colonne des méthodes concurrentes, déjà signalées comme à revérifier.</w:t>
      </w:r>
    </w:p>
    <w:p>
      <w:pPr>
        <w:pStyle w:val="ListParagraph"/>
        <w:numPr>
          <w:ilvl w:val="0"/>
          <w:numId w:val="1"/>
        </w:numPr>
        <w:spacing w:after="80" w:line="264"/>
        <w:jc w:val="both"/>
      </w:pPr>
      <w:r>
        <w:rPr>
          <w:rFonts w:ascii="Times New Roman" w:cs="Times New Roman" w:eastAsia="Times New Roman" w:hAnsi="Times New Roman"/>
          <w:sz w:val="21"/>
          <w:szCs w:val="21"/>
        </w:rPr>
        <w:t xml:space="preserve">Valeurs d'EyeLiner issues de l'étude tierce de 2026 : protocole à confirmer avant reprise.</w:t>
      </w:r>
    </w:p>
    <w:p>
      <w:pPr>
        <w:pStyle w:val="ListParagraph"/>
        <w:numPr>
          <w:ilvl w:val="0"/>
          <w:numId w:val="1"/>
        </w:numPr>
        <w:spacing w:after="80" w:line="264"/>
        <w:jc w:val="both"/>
      </w:pPr>
      <w:r>
        <w:rPr>
          <w:rFonts w:ascii="Times New Roman" w:cs="Times New Roman" w:eastAsia="Times New Roman" w:hAnsi="Times New Roman"/>
          <w:sz w:val="21"/>
          <w:szCs w:val="21"/>
        </w:rPr>
        <w:t xml:space="preserve">Valeur de Sarhan et al. : relevée dans [5], non vérifiée dans l'article d'origine.</w:t>
      </w:r>
    </w:p>
    <w:p>
      <w:pPr>
        <w:pStyle w:val="ListParagraph"/>
        <w:numPr>
          <w:ilvl w:val="0"/>
          <w:numId w:val="1"/>
        </w:numPr>
        <w:spacing w:after="80" w:line="264"/>
        <w:jc w:val="both"/>
      </w:pPr>
      <w:r>
        <w:rPr>
          <w:rFonts w:ascii="Times New Roman" w:cs="Times New Roman" w:eastAsia="Times New Roman" w:hAnsi="Times New Roman"/>
          <w:sz w:val="21"/>
          <w:szCs w:val="21"/>
        </w:rPr>
        <w:t xml:space="preserve">Tolérance d'appariement de sept pixels : à adapter à la résolution des images d'IDRiD.</w:t>
      </w:r>
    </w:p>
    <w:p>
      <w:pPr>
        <w:pStyle w:val="ListParagraph"/>
        <w:numPr>
          <w:ilvl w:val="0"/>
          <w:numId w:val="1"/>
        </w:numPr>
        <w:spacing w:after="80" w:line="264"/>
        <w:jc w:val="both"/>
      </w:pPr>
      <w:r>
        <w:rPr>
          <w:rFonts w:ascii="Times New Roman" w:cs="Times New Roman" w:eastAsia="Times New Roman" w:hAnsi="Times New Roman"/>
          <w:sz w:val="21"/>
          <w:szCs w:val="21"/>
        </w:rPr>
        <w:t xml:space="preserve">Seuil d'échec du recalage et seuil de consensus de RANSAC : à fixer et à justifier.</w:t>
      </w:r>
    </w:p>
    <w:p>
      <w:pPr>
        <w:pStyle w:val="ListParagraph"/>
        <w:numPr>
          <w:ilvl w:val="0"/>
          <w:numId w:val="1"/>
        </w:numPr>
        <w:spacing w:after="80" w:line="264"/>
        <w:jc w:val="both"/>
      </w:pPr>
      <w:r>
        <w:rPr>
          <w:rFonts w:ascii="Times New Roman" w:cs="Times New Roman" w:eastAsia="Times New Roman" w:hAnsi="Times New Roman"/>
          <w:sz w:val="21"/>
          <w:szCs w:val="21"/>
        </w:rPr>
        <w:t xml:space="preserve">Segmentation vasculaire : vérifier que DRIVE et STARE fournissent une référence exploitable pour le calcul du Dice dans notre implémentation.</w:t>
      </w:r>
    </w:p>
    <w:p>
      <w:pPr>
        <w:pStyle w:val="ListParagraph"/>
        <w:numPr>
          <w:ilvl w:val="0"/>
          <w:numId w:val="1"/>
        </w:numPr>
        <w:spacing w:after="80" w:line="264"/>
        <w:jc w:val="both"/>
      </w:pPr>
      <w:r>
        <w:rPr>
          <w:rFonts w:ascii="Times New Roman" w:cs="Times New Roman" w:eastAsia="Times New Roman" w:hAnsi="Times New Roman"/>
          <w:sz w:val="21"/>
          <w:szCs w:val="21"/>
        </w:rPr>
        <w:t xml:space="preserve">Les cinq métriques ajoutées par le projet (trois intermédiaires, le taux d'échec et la répartition par classe de changement) sont des propositions de l'équipe, à valider.</w:t>
      </w:r>
    </w:p>
    <w:sectPr>
      <w:footerReference w:type="default" r:id="rId9"/>
      <w:pgSz w:w="11906" w:h="16838" w:orient="portrait"/>
      <w:pgMar w:top="1418" w:right="1276" w:bottom="1418"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3.8 — Métriques d'évaluation</dc:title>
  <dc:creator>Powell FAGNON</dc:creator>
  <cp:lastModifiedBy>Un-named</cp:lastModifiedBy>
  <cp:revision>1</cp:revision>
  <dcterms:created xsi:type="dcterms:W3CDTF">2026-10-17T22:37:22.475Z</dcterms:created>
  <dcterms:modified xsi:type="dcterms:W3CDTF">2026-10-17T22:37:22.481Z</dcterms:modified>
</cp:coreProperties>
</file>

<file path=docProps/custom.xml><?xml version="1.0" encoding="utf-8"?>
<Properties xmlns="http://schemas.openxmlformats.org/officeDocument/2006/custom-properties" xmlns:vt="http://schemas.openxmlformats.org/officeDocument/2006/docPropsVTypes"/>
</file>