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2E74B5"/>
          <w:sz w:val="44"/>
        </w:rPr>
        <w:t>AI Energy System Modeling Agent</w:t>
      </w:r>
    </w:p>
    <w:p>
      <w:pPr>
        <w:spacing w:after="200"/>
      </w:pPr>
      <w:r>
        <w:rPr>
          <w:rFonts w:ascii="Calibri" w:hAnsi="Calibri"/>
          <w:color w:val="5A5A5A"/>
          <w:sz w:val="26"/>
        </w:rPr>
        <w:t>Orchestration Layer Update Brief</w:t>
      </w:r>
    </w:p>
    <w:p>
      <w:pPr>
        <w:spacing w:after="280"/>
      </w:pPr>
      <w:r>
        <w:rPr>
          <w:rFonts w:ascii="Calibri" w:hAnsi="Calibri"/>
          <w:color w:val="5A5A5A"/>
          <w:sz w:val="20"/>
        </w:rPr>
        <w:t>Prepared: June 02, 2026</w:t>
      </w:r>
    </w:p>
    <w:tbl>
      <w:tblPr>
        <w:tblStyle w:val="TableGrid"/>
        <w:tblW w:type="dxa" w:w="9360"/>
        <w:tblLook w:firstColumn="1" w:firstRow="1" w:lastColumn="0" w:lastRow="0" w:noHBand="0" w:noVBand="1" w:val="04A0"/>
        <w:tblInd w:w="120" w:type="dxa"/>
        <w:tblLayout w:type="fixed"/>
      </w:tblPr>
      <w:tblGrid>
        <w:gridCol w:w="9360"/>
      </w:tblGrid>
      <w:tr>
        <w:tc>
          <w:tcPr>
            <w:tcW w:type="dxa" w:w="9360"/>
            <w:tcMar>
              <w:top w:w="80" w:type="dxa"/>
              <w:bottom w:w="80" w:type="dxa"/>
              <w:start w:w="120" w:type="dxa"/>
              <w:end w:w="120" w:type="dxa"/>
            </w:tcMar>
            <w:shd w:fill="F4F6F9"/>
            <w:vAlign w:val="center"/>
          </w:tcPr>
          <w:p>
            <w:pPr>
              <w:spacing w:after="0"/>
            </w:pPr>
            <w:r>
              <w:rPr>
                <w:b/>
                <w:color w:val="1F4D78"/>
              </w:rPr>
              <w:t xml:space="preserve">Current state: </w:t>
            </w:r>
            <w:r>
              <w:t>The project now has an executable MVP orchestration layer for the AI energy modeling agent. It validates scenarios, runs the model backend, analyzes solver logs and outputs, generates refinement recommendations, and records iteration memory.</w:t>
            </w:r>
          </w:p>
        </w:tc>
      </w:tr>
    </w:tbl>
    <w:p/>
    <w:p>
      <w:pPr>
        <w:pStyle w:val="Heading1"/>
      </w:pPr>
      <w:r>
        <w:t>Purpose</w:t>
      </w:r>
    </w:p>
    <w:p>
      <w:r>
        <w:t>This brief documents the implementation work completed so far while building the AI agent step by step. The work transformed the repository from a documented skill library and test-bed into a runnable agent workflow with structured state and diagnostics.</w:t>
      </w:r>
    </w:p>
    <w:p>
      <w:pPr>
        <w:pStyle w:val="Heading1"/>
      </w:pPr>
      <w:r>
        <w:t>Implemented Workflow</w:t>
      </w:r>
    </w:p>
    <w:p>
      <w:pPr>
        <w:pStyle w:val="ListBullet"/>
        <w:spacing w:after="80"/>
      </w:pPr>
      <w:r>
        <w:t>VALIDATE_SCENARIO: checks scenario structure, declared files, demand horizon, generator filters, solver settings, and expected outputs.</w:t>
      </w:r>
    </w:p>
    <w:p>
      <w:pPr>
        <w:pStyle w:val="ListBullet"/>
        <w:spacing w:after="80"/>
      </w:pPr>
      <w:r>
        <w:t>LAUNCH_SOLVER: runs the existing capacity expansion backend through a subprocess adapter and captures stdout, stderr, elapsed time, and solve summary.</w:t>
      </w:r>
    </w:p>
    <w:p>
      <w:pPr>
        <w:pStyle w:val="ListBullet"/>
        <w:spacing w:after="80"/>
      </w:pPr>
      <w:r>
        <w:t>ANALYZE_SOLVER_LOG: inspects solver status, infeasibility, numerical warnings, timeouts, and performance signals.</w:t>
      </w:r>
    </w:p>
    <w:p>
      <w:pPr>
        <w:pStyle w:val="ListBullet"/>
        <w:spacing w:after="80"/>
      </w:pPr>
      <w:r>
        <w:t>ANALYZE_OUTPUTS: checks solution credibility, including cost consistency, power balance, capacity limits, nonnegative capacity, and non-served energy.</w:t>
      </w:r>
    </w:p>
    <w:p>
      <w:pPr>
        <w:pStyle w:val="ListBullet"/>
        <w:spacing w:after="80"/>
      </w:pPr>
      <w:r>
        <w:t>TRIGGER_REFINER: converts diagnostics into recommendation-only next actions without mutating scenario files.</w:t>
      </w:r>
    </w:p>
    <w:p>
      <w:pPr>
        <w:pStyle w:val="ListBullet"/>
        <w:spacing w:after="80"/>
      </w:pPr>
      <w:r>
        <w:t>ITERATION_MEMORY: appends compact run records to persistent JSONL history and summarizes best run, convergence trend, repeated causes, and failure patterns.</w:t>
      </w:r>
    </w:p>
    <w:p>
      <w:pPr>
        <w:pStyle w:val="Heading1"/>
      </w:pPr>
      <w:r>
        <w:t>Files Added or Updated</w:t>
      </w:r>
    </w:p>
    <w:tbl>
      <w:tblPr>
        <w:tblStyle w:val="TableGrid"/>
        <w:tblW w:type="dxa" w:w="9360"/>
        <w:tblLook w:firstColumn="1" w:firstRow="1" w:lastColumn="0" w:lastRow="0" w:noHBand="0" w:noVBand="1" w:val="04A0"/>
        <w:tblInd w:w="120" w:type="dxa"/>
        <w:tblLayout w:type="fixed"/>
      </w:tblPr>
      <w:tblGrid>
        <w:gridCol w:w="2550"/>
        <w:gridCol w:w="6300"/>
        <w:gridCol w:w="510"/>
      </w:tblGrid>
      <w:tr>
        <w:tc>
          <w:tcPr>
            <w:tcW w:type="dxa" w:w="2550"/>
            <w:tcMar>
              <w:top w:w="80" w:type="dxa"/>
              <w:bottom w:w="80" w:type="dxa"/>
              <w:start w:w="120" w:type="dxa"/>
              <w:end w:w="120" w:type="dxa"/>
            </w:tcMar>
            <w:shd w:fill="F2F4F7"/>
            <w:vAlign w:val="center"/>
          </w:tcPr>
          <w:p>
            <w:pPr>
              <w:spacing w:after="0"/>
              <w:jc w:val="center"/>
            </w:pPr>
            <w:r>
              <w:rPr>
                <w:b/>
                <w:color w:val="1F4D78"/>
              </w:rPr>
              <w:t>File</w:t>
            </w:r>
          </w:p>
        </w:tc>
        <w:tc>
          <w:tcPr>
            <w:tcW w:type="dxa" w:w="6300"/>
            <w:tcMar>
              <w:top w:w="80" w:type="dxa"/>
              <w:bottom w:w="80" w:type="dxa"/>
              <w:start w:w="120" w:type="dxa"/>
              <w:end w:w="120" w:type="dxa"/>
            </w:tcMar>
            <w:shd w:fill="F2F4F7"/>
            <w:vAlign w:val="center"/>
          </w:tcPr>
          <w:p>
            <w:pPr>
              <w:spacing w:after="0"/>
              <w:jc w:val="center"/>
            </w:pPr>
            <w:r>
              <w:rPr>
                <w:b/>
                <w:color w:val="1F4D78"/>
              </w:rPr>
              <w:t>Role</w:t>
            </w:r>
          </w:p>
        </w:tc>
        <w:tc>
          <w:tcPr>
            <w:tcW w:type="dxa" w:w="510"/>
            <w:tcMar>
              <w:top w:w="80" w:type="dxa"/>
              <w:bottom w:w="80" w:type="dxa"/>
              <w:start w:w="120" w:type="dxa"/>
              <w:end w:w="120" w:type="dxa"/>
            </w:tcMar>
            <w:shd w:fill="F2F4F7"/>
            <w:vAlign w:val="center"/>
          </w:tcPr>
          <w:p>
            <w:pPr>
              <w:spacing w:after="0"/>
              <w:jc w:val="center"/>
            </w:pPr>
            <w:r>
              <w:rPr>
                <w:b/>
                <w:color w:val="1F4D78"/>
              </w:rPr>
              <w:t>Status</w:t>
            </w:r>
          </w:p>
        </w:tc>
      </w:tr>
      <w:tr>
        <w:tc>
          <w:tcPr>
            <w:tcW w:type="dxa" w:w="2550"/>
            <w:vAlign w:val="center"/>
          </w:tcPr>
          <w:p>
            <w:pPr>
              <w:spacing w:after="0"/>
            </w:pPr>
            <w:r>
              <w:t>agent/orchestrator.py</w:t>
            </w:r>
          </w:p>
        </w:tc>
        <w:tc>
          <w:tcPr>
            <w:tcW w:type="dxa" w:w="6300"/>
            <w:vAlign w:val="center"/>
          </w:tcPr>
          <w:p>
            <w:pPr>
              <w:spacing w:after="0"/>
            </w:pPr>
            <w:r>
              <w:t>CLI entrypoint and workflow controller for validation, execution, diagnostics, refinement, and memory.</w:t>
            </w:r>
          </w:p>
        </w:tc>
        <w:tc>
          <w:tcPr>
            <w:tcW w:type="dxa" w:w="510"/>
            <w:vAlign w:val="center"/>
          </w:tcPr>
          <w:p>
            <w:pPr>
              <w:spacing w:after="0"/>
            </w:pPr>
            <w:r>
              <w:t>Added</w:t>
            </w:r>
          </w:p>
        </w:tc>
      </w:tr>
      <w:tr>
        <w:tc>
          <w:tcPr>
            <w:tcW w:type="dxa" w:w="2550"/>
            <w:vAlign w:val="center"/>
          </w:tcPr>
          <w:p>
            <w:pPr>
              <w:spacing w:after="0"/>
            </w:pPr>
            <w:r>
              <w:t>agent/validation.py</w:t>
            </w:r>
          </w:p>
        </w:tc>
        <w:tc>
          <w:tcPr>
            <w:tcW w:type="dxa" w:w="6300"/>
            <w:vAlign w:val="center"/>
          </w:tcPr>
          <w:p>
            <w:pPr>
              <w:spacing w:after="0"/>
            </w:pPr>
            <w:r>
              <w:t>Pre-solve scenario validator with normalized support for the current YAML variants.</w:t>
            </w:r>
          </w:p>
        </w:tc>
        <w:tc>
          <w:tcPr>
            <w:tcW w:type="dxa" w:w="510"/>
            <w:vAlign w:val="center"/>
          </w:tcPr>
          <w:p>
            <w:pPr>
              <w:spacing w:after="0"/>
            </w:pPr>
            <w:r>
              <w:t>Added</w:t>
            </w:r>
          </w:p>
        </w:tc>
      </w:tr>
      <w:tr>
        <w:tc>
          <w:tcPr>
            <w:tcW w:type="dxa" w:w="2550"/>
            <w:vAlign w:val="center"/>
          </w:tcPr>
          <w:p>
            <w:pPr>
              <w:spacing w:after="0"/>
            </w:pPr>
            <w:r>
              <w:t>agent/output_analysis.py</w:t>
            </w:r>
          </w:p>
        </w:tc>
        <w:tc>
          <w:tcPr>
            <w:tcW w:type="dxa" w:w="6300"/>
            <w:vAlign w:val="center"/>
          </w:tcPr>
          <w:p>
            <w:pPr>
              <w:spacing w:after="0"/>
            </w:pPr>
            <w:r>
              <w:t>Post-solve output analyzer for physical and economic plausibility checks.</w:t>
            </w:r>
          </w:p>
        </w:tc>
        <w:tc>
          <w:tcPr>
            <w:tcW w:type="dxa" w:w="510"/>
            <w:vAlign w:val="center"/>
          </w:tcPr>
          <w:p>
            <w:pPr>
              <w:spacing w:after="0"/>
            </w:pPr>
            <w:r>
              <w:t>Added</w:t>
            </w:r>
          </w:p>
        </w:tc>
      </w:tr>
      <w:tr>
        <w:tc>
          <w:tcPr>
            <w:tcW w:type="dxa" w:w="2550"/>
            <w:vAlign w:val="center"/>
          </w:tcPr>
          <w:p>
            <w:pPr>
              <w:spacing w:after="0"/>
            </w:pPr>
            <w:r>
              <w:t>agent/solver_log_analysis.py</w:t>
            </w:r>
          </w:p>
        </w:tc>
        <w:tc>
          <w:tcPr>
            <w:tcW w:type="dxa" w:w="6300"/>
            <w:vAlign w:val="center"/>
          </w:tcPr>
          <w:p>
            <w:pPr>
              <w:spacing w:after="0"/>
            </w:pPr>
            <w:r>
              <w:t>Solver log parser with fallback to captured stdout/stderr and solve summary.</w:t>
            </w:r>
          </w:p>
        </w:tc>
        <w:tc>
          <w:tcPr>
            <w:tcW w:type="dxa" w:w="510"/>
            <w:vAlign w:val="center"/>
          </w:tcPr>
          <w:p>
            <w:pPr>
              <w:spacing w:after="0"/>
            </w:pPr>
            <w:r>
              <w:t>Added</w:t>
            </w:r>
          </w:p>
        </w:tc>
      </w:tr>
      <w:tr>
        <w:tc>
          <w:tcPr>
            <w:tcW w:type="dxa" w:w="2550"/>
            <w:vAlign w:val="center"/>
          </w:tcPr>
          <w:p>
            <w:pPr>
              <w:spacing w:after="0"/>
            </w:pPr>
            <w:r>
              <w:t>agent/refiner.py</w:t>
            </w:r>
          </w:p>
        </w:tc>
        <w:tc>
          <w:tcPr>
            <w:tcW w:type="dxa" w:w="6300"/>
            <w:vAlign w:val="center"/>
          </w:tcPr>
          <w:p>
            <w:pPr>
              <w:spacing w:after="0"/>
            </w:pPr>
            <w:r>
              <w:t>Recommendation-only refiner that maps diagnostics to targeted next actions.</w:t>
            </w:r>
          </w:p>
        </w:tc>
        <w:tc>
          <w:tcPr>
            <w:tcW w:type="dxa" w:w="510"/>
            <w:vAlign w:val="center"/>
          </w:tcPr>
          <w:p>
            <w:pPr>
              <w:spacing w:after="0"/>
            </w:pPr>
            <w:r>
              <w:t>Added</w:t>
            </w:r>
          </w:p>
        </w:tc>
      </w:tr>
      <w:tr>
        <w:tc>
          <w:tcPr>
            <w:tcW w:type="dxa" w:w="2550"/>
            <w:vAlign w:val="center"/>
          </w:tcPr>
          <w:p>
            <w:pPr>
              <w:spacing w:after="0"/>
            </w:pPr>
            <w:r>
              <w:t>agent/iteration_memory.py</w:t>
            </w:r>
          </w:p>
        </w:tc>
        <w:tc>
          <w:tcPr>
            <w:tcW w:type="dxa" w:w="6300"/>
            <w:vAlign w:val="center"/>
          </w:tcPr>
          <w:p>
            <w:pPr>
              <w:spacing w:after="0"/>
            </w:pPr>
            <w:r>
              <w:t>Append-only run history and summary utilities.</w:t>
            </w:r>
          </w:p>
        </w:tc>
        <w:tc>
          <w:tcPr>
            <w:tcW w:type="dxa" w:w="510"/>
            <w:vAlign w:val="center"/>
          </w:tcPr>
          <w:p>
            <w:pPr>
              <w:spacing w:after="0"/>
            </w:pPr>
            <w:r>
              <w:t>Added</w:t>
            </w:r>
          </w:p>
        </w:tc>
      </w:tr>
      <w:tr>
        <w:tc>
          <w:tcPr>
            <w:tcW w:type="dxa" w:w="2550"/>
            <w:vAlign w:val="center"/>
          </w:tcPr>
          <w:p>
            <w:pPr>
              <w:spacing w:after="0"/>
            </w:pPr>
            <w:r>
              <w:t>agent/README.md</w:t>
            </w:r>
          </w:p>
        </w:tc>
        <w:tc>
          <w:tcPr>
            <w:tcW w:type="dxa" w:w="6300"/>
            <w:vAlign w:val="center"/>
          </w:tcPr>
          <w:p>
            <w:pPr>
              <w:spacing w:after="0"/>
            </w:pPr>
            <w:r>
              <w:t>Usage notes and run-state contract documentation.</w:t>
            </w:r>
          </w:p>
        </w:tc>
        <w:tc>
          <w:tcPr>
            <w:tcW w:type="dxa" w:w="510"/>
            <w:vAlign w:val="center"/>
          </w:tcPr>
          <w:p>
            <w:pPr>
              <w:spacing w:after="0"/>
            </w:pPr>
            <w:r>
              <w:t>Updated</w:t>
            </w:r>
          </w:p>
        </w:tc>
      </w:tr>
      <w:tr>
        <w:tc>
          <w:tcPr>
            <w:tcW w:type="dxa" w:w="2550"/>
            <w:vAlign w:val="center"/>
          </w:tcPr>
          <w:p>
            <w:pPr>
              <w:spacing w:after="0"/>
            </w:pPr>
            <w:r>
              <w:t>runs/run_history.jsonl</w:t>
            </w:r>
          </w:p>
        </w:tc>
        <w:tc>
          <w:tcPr>
            <w:tcW w:type="dxa" w:w="6300"/>
            <w:vAlign w:val="center"/>
          </w:tcPr>
          <w:p>
            <w:pPr>
              <w:spacing w:after="0"/>
            </w:pPr>
            <w:r>
              <w:t>Persistent compact run history generated by orchestrated runs.</w:t>
            </w:r>
          </w:p>
        </w:tc>
        <w:tc>
          <w:tcPr>
            <w:tcW w:type="dxa" w:w="510"/>
            <w:vAlign w:val="center"/>
          </w:tcPr>
          <w:p>
            <w:pPr>
              <w:spacing w:after="0"/>
            </w:pPr>
            <w:r>
              <w:t>Generated</w:t>
            </w:r>
          </w:p>
        </w:tc>
      </w:tr>
    </w:tbl>
    <w:p/>
    <w:p>
      <w:pPr>
        <w:pStyle w:val="Heading1"/>
      </w:pPr>
      <w:r>
        <w:t>Run-State Contract</w:t>
      </w:r>
    </w:p>
    <w:p>
      <w:r>
        <w:t>Each run writes a structured state file at runs/&lt;run_id&gt;/run_state.json. The current contract includes the following major fields:</w:t>
      </w:r>
    </w:p>
    <w:p>
      <w:pPr>
        <w:pStyle w:val="ListBullet"/>
        <w:spacing w:after="80"/>
      </w:pPr>
      <w:r>
        <w:t>controller_decisions: ordered workflow actions and routing decisions.</w:t>
      </w:r>
    </w:p>
    <w:p>
      <w:pPr>
        <w:pStyle w:val="ListBullet"/>
        <w:spacing w:after="80"/>
      </w:pPr>
      <w:r>
        <w:t>validation_results: pass/fail checks, resolved input files, and matched candidate generators.</w:t>
      </w:r>
    </w:p>
    <w:p>
      <w:pPr>
        <w:pStyle w:val="ListBullet"/>
        <w:spacing w:after="80"/>
      </w:pPr>
      <w:r>
        <w:t>executor_results: command, return code, logs, elapsed time, and solve summary.</w:t>
      </w:r>
    </w:p>
    <w:p>
      <w:pPr>
        <w:pStyle w:val="ListBullet"/>
        <w:spacing w:after="80"/>
      </w:pPr>
      <w:r>
        <w:t>solver_log_analysis_results: solver-side status, warnings, and performance metrics.</w:t>
      </w:r>
    </w:p>
    <w:p>
      <w:pPr>
        <w:pStyle w:val="ListBullet"/>
        <w:spacing w:after="80"/>
      </w:pPr>
      <w:r>
        <w:t>output_analysis_results: physical/economic diagnostics and computed metrics.</w:t>
      </w:r>
    </w:p>
    <w:p>
      <w:pPr>
        <w:pStyle w:val="ListBullet"/>
        <w:spacing w:after="80"/>
      </w:pPr>
      <w:r>
        <w:t>refinement_results: recommended fixes, confidence, trigger context, and source issues.</w:t>
      </w:r>
    </w:p>
    <w:p>
      <w:pPr>
        <w:pStyle w:val="ListBullet"/>
        <w:spacing w:after="80"/>
      </w:pPr>
      <w:r>
        <w:t>memory_record and memory_summary: compact persistent history entry and accumulated run summary.</w:t>
      </w:r>
    </w:p>
    <w:p>
      <w:pPr>
        <w:pStyle w:val="Heading1"/>
      </w:pPr>
      <w:r>
        <w:t>Smoke Test Results</w:t>
      </w:r>
    </w:p>
    <w:tbl>
      <w:tblPr>
        <w:tblStyle w:val="TableGrid"/>
        <w:tblW w:type="dxa" w:w="9360"/>
        <w:tblLook w:firstColumn="1" w:firstRow="1" w:lastColumn="0" w:lastRow="0" w:noHBand="0" w:noVBand="1" w:val="04A0"/>
        <w:tblInd w:w="120" w:type="dxa"/>
        <w:tblLayout w:type="fixed"/>
      </w:tblPr>
      <w:tblGrid>
        <w:gridCol w:w="3100"/>
        <w:gridCol w:w="6260"/>
      </w:tblGrid>
      <w:tr>
        <w:tc>
          <w:tcPr>
            <w:tcW w:type="dxa" w:w="3100"/>
            <w:tcMar>
              <w:top w:w="80" w:type="dxa"/>
              <w:bottom w:w="80" w:type="dxa"/>
              <w:start w:w="120" w:type="dxa"/>
              <w:end w:w="120" w:type="dxa"/>
            </w:tcMar>
            <w:shd w:fill="F2F4F7"/>
            <w:vAlign w:val="center"/>
          </w:tcPr>
          <w:p>
            <w:pPr>
              <w:spacing w:after="0"/>
              <w:jc w:val="center"/>
            </w:pPr>
            <w:r>
              <w:rPr>
                <w:b/>
                <w:color w:val="1F4D78"/>
              </w:rPr>
              <w:t>Metric</w:t>
            </w:r>
          </w:p>
        </w:tc>
        <w:tc>
          <w:tcPr>
            <w:tcW w:type="dxa" w:w="6260"/>
            <w:tcMar>
              <w:top w:w="80" w:type="dxa"/>
              <w:bottom w:w="80" w:type="dxa"/>
              <w:start w:w="120" w:type="dxa"/>
              <w:end w:w="120" w:type="dxa"/>
            </w:tcMar>
            <w:shd w:fill="F2F4F7"/>
            <w:vAlign w:val="center"/>
          </w:tcPr>
          <w:p>
            <w:pPr>
              <w:spacing w:after="0"/>
              <w:jc w:val="center"/>
            </w:pPr>
            <w:r>
              <w:rPr>
                <w:b/>
                <w:color w:val="1F4D78"/>
              </w:rPr>
              <w:t>Observed Result</w:t>
            </w:r>
          </w:p>
        </w:tc>
      </w:tr>
      <w:tr>
        <w:tc>
          <w:tcPr>
            <w:tcW w:type="dxa" w:w="3100"/>
            <w:vAlign w:val="center"/>
          </w:tcPr>
          <w:p>
            <w:pPr>
              <w:spacing w:after="0"/>
            </w:pPr>
            <w:r>
              <w:t>Scenario</w:t>
            </w:r>
          </w:p>
        </w:tc>
        <w:tc>
          <w:tcPr>
            <w:tcW w:type="dxa" w:w="6260"/>
            <w:vAlign w:val="center"/>
          </w:tcPr>
          <w:p>
            <w:pPr>
              <w:spacing w:after="0"/>
            </w:pPr>
            <w:r>
              <w:t>thermal_greenfield_capacity_expansion_test_001</w:t>
            </w:r>
          </w:p>
        </w:tc>
      </w:tr>
      <w:tr>
        <w:tc>
          <w:tcPr>
            <w:tcW w:type="dxa" w:w="3100"/>
            <w:vAlign w:val="center"/>
          </w:tcPr>
          <w:p>
            <w:pPr>
              <w:spacing w:after="0"/>
            </w:pPr>
            <w:r>
              <w:t>Run ID</w:t>
            </w:r>
          </w:p>
        </w:tc>
        <w:tc>
          <w:tcPr>
            <w:tcW w:type="dxa" w:w="6260"/>
            <w:vAlign w:val="center"/>
          </w:tcPr>
          <w:p>
            <w:pPr>
              <w:spacing w:after="0"/>
            </w:pPr>
            <w:r>
              <w:t>memory_smoke_test</w:t>
            </w:r>
          </w:p>
        </w:tc>
      </w:tr>
      <w:tr>
        <w:tc>
          <w:tcPr>
            <w:tcW w:type="dxa" w:w="3100"/>
            <w:vAlign w:val="center"/>
          </w:tcPr>
          <w:p>
            <w:pPr>
              <w:spacing w:after="0"/>
            </w:pPr>
            <w:r>
              <w:t>Final status</w:t>
            </w:r>
          </w:p>
        </w:tc>
        <w:tc>
          <w:tcPr>
            <w:tcW w:type="dxa" w:w="6260"/>
            <w:vAlign w:val="center"/>
          </w:tcPr>
          <w:p>
            <w:pPr>
              <w:spacing w:after="0"/>
            </w:pPr>
            <w:r>
              <w:t>COMPLETED</w:t>
            </w:r>
          </w:p>
        </w:tc>
      </w:tr>
      <w:tr>
        <w:tc>
          <w:tcPr>
            <w:tcW w:type="dxa" w:w="3100"/>
            <w:vAlign w:val="center"/>
          </w:tcPr>
          <w:p>
            <w:pPr>
              <w:spacing w:after="0"/>
            </w:pPr>
            <w:r>
              <w:t>Objective</w:t>
            </w:r>
          </w:p>
        </w:tc>
        <w:tc>
          <w:tcPr>
            <w:tcW w:type="dxa" w:w="6260"/>
            <w:vAlign w:val="center"/>
          </w:tcPr>
          <w:p>
            <w:pPr>
              <w:spacing w:after="0"/>
            </w:pPr>
            <w:r>
              <w:t>$990,873,978.80</w:t>
            </w:r>
          </w:p>
        </w:tc>
      </w:tr>
      <w:tr>
        <w:tc>
          <w:tcPr>
            <w:tcW w:type="dxa" w:w="3100"/>
            <w:vAlign w:val="center"/>
          </w:tcPr>
          <w:p>
            <w:pPr>
              <w:spacing w:after="0"/>
            </w:pPr>
            <w:r>
              <w:t>Solver status</w:t>
            </w:r>
          </w:p>
        </w:tc>
        <w:tc>
          <w:tcPr>
            <w:tcW w:type="dxa" w:w="6260"/>
            <w:vAlign w:val="center"/>
          </w:tcPr>
          <w:p>
            <w:pPr>
              <w:spacing w:after="0"/>
            </w:pPr>
            <w:r>
              <w:t>OPTIMAL</w:t>
            </w:r>
          </w:p>
        </w:tc>
      </w:tr>
      <w:tr>
        <w:tc>
          <w:tcPr>
            <w:tcW w:type="dxa" w:w="3100"/>
            <w:vAlign w:val="center"/>
          </w:tcPr>
          <w:p>
            <w:pPr>
              <w:spacing w:after="0"/>
            </w:pPr>
            <w:r>
              <w:t>Output analysis</w:t>
            </w:r>
          </w:p>
        </w:tc>
        <w:tc>
          <w:tcPr>
            <w:tcW w:type="dxa" w:w="6260"/>
            <w:vAlign w:val="center"/>
          </w:tcPr>
          <w:p>
            <w:pPr>
              <w:spacing w:after="0"/>
            </w:pPr>
            <w:r>
              <w:t>WARN: small load shedding present</w:t>
            </w:r>
          </w:p>
        </w:tc>
      </w:tr>
      <w:tr>
        <w:tc>
          <w:tcPr>
            <w:tcW w:type="dxa" w:w="3100"/>
            <w:vAlign w:val="center"/>
          </w:tcPr>
          <w:p>
            <w:pPr>
              <w:spacing w:after="0"/>
            </w:pPr>
            <w:r>
              <w:t>Max power balance imbalance</w:t>
            </w:r>
          </w:p>
        </w:tc>
        <w:tc>
          <w:tcPr>
            <w:tcW w:type="dxa" w:w="6260"/>
            <w:vAlign w:val="center"/>
          </w:tcPr>
          <w:p>
            <w:pPr>
              <w:spacing w:after="0"/>
            </w:pPr>
            <w:r>
              <w:t>0.0 MWh</w:t>
            </w:r>
          </w:p>
        </w:tc>
      </w:tr>
      <w:tr>
        <w:tc>
          <w:tcPr>
            <w:tcW w:type="dxa" w:w="3100"/>
            <w:vAlign w:val="center"/>
          </w:tcPr>
          <w:p>
            <w:pPr>
              <w:spacing w:after="0"/>
            </w:pPr>
            <w:r>
              <w:t>Max capacity violation</w:t>
            </w:r>
          </w:p>
        </w:tc>
        <w:tc>
          <w:tcPr>
            <w:tcW w:type="dxa" w:w="6260"/>
            <w:vAlign w:val="center"/>
          </w:tcPr>
          <w:p>
            <w:pPr>
              <w:spacing w:after="0"/>
            </w:pPr>
            <w:r>
              <w:t>0.0 MWh</w:t>
            </w:r>
          </w:p>
        </w:tc>
      </w:tr>
      <w:tr>
        <w:tc>
          <w:tcPr>
            <w:tcW w:type="dxa" w:w="3100"/>
            <w:vAlign w:val="center"/>
          </w:tcPr>
          <w:p>
            <w:pPr>
              <w:spacing w:after="0"/>
            </w:pPr>
            <w:r>
              <w:t>NSE</w:t>
            </w:r>
          </w:p>
        </w:tc>
        <w:tc>
          <w:tcPr>
            <w:tcW w:type="dxa" w:w="6260"/>
            <w:vAlign w:val="center"/>
          </w:tcPr>
          <w:p>
            <w:pPr>
              <w:spacing w:after="0"/>
            </w:pPr>
            <w:r>
              <w:t>637.0 MWh, approximately 0.0028% of demand</w:t>
            </w:r>
          </w:p>
        </w:tc>
      </w:tr>
      <w:tr>
        <w:tc>
          <w:tcPr>
            <w:tcW w:type="dxa" w:w="3100"/>
            <w:vAlign w:val="center"/>
          </w:tcPr>
          <w:p>
            <w:pPr>
              <w:spacing w:after="0"/>
            </w:pPr>
            <w:r>
              <w:t>Refiner recommendation</w:t>
            </w:r>
          </w:p>
        </w:tc>
        <w:tc>
          <w:tcPr>
            <w:tcW w:type="dxa" w:w="6260"/>
            <w:vAlign w:val="center"/>
          </w:tcPr>
          <w:p>
            <w:pPr>
              <w:spacing w:after="0"/>
            </w:pPr>
            <w:r>
              <w:t>STOP / NO_FIX; review NSE before using for planning decisions</w:t>
            </w:r>
          </w:p>
        </w:tc>
      </w:tr>
    </w:tbl>
    <w:p/>
    <w:p>
      <w:pPr>
        <w:pStyle w:val="Heading1"/>
      </w:pPr>
      <w:r>
        <w:t>Current Limitations</w:t>
      </w:r>
    </w:p>
    <w:p>
      <w:pPr>
        <w:pStyle w:val="ListBullet"/>
        <w:spacing w:after="80"/>
      </w:pPr>
      <w:r>
        <w:t>The refiner does not yet mutate scenario YAML files or launch a controlled rerun.</w:t>
      </w:r>
    </w:p>
    <w:p>
      <w:pPr>
        <w:pStyle w:val="ListBullet"/>
        <w:spacing w:after="80"/>
      </w:pPr>
      <w:r>
        <w:t>The Python backend does not currently write the configured HiGHS log path, so solver log analysis falls back to captured stdout/stderr for that path.</w:t>
      </w:r>
    </w:p>
    <w:p>
      <w:pPr>
        <w:pStyle w:val="ListBullet"/>
        <w:spacing w:after="80"/>
      </w:pPr>
      <w:r>
        <w:t>Validation supports the current scenario YAML variants, but a formal shared schema would make future scenarios cleaner.</w:t>
      </w:r>
    </w:p>
    <w:p>
      <w:pPr>
        <w:pStyle w:val="ListBullet"/>
        <w:spacing w:after="80"/>
      </w:pPr>
      <w:r>
        <w:t>Iteration memory is append-only and compact; it does not yet drive controller decisions or refiner escalation.</w:t>
      </w:r>
    </w:p>
    <w:p>
      <w:pPr>
        <w:pStyle w:val="Heading1"/>
      </w:pPr>
      <w:r>
        <w:t>Recommended Next Step</w:t>
      </w:r>
    </w:p>
    <w:p>
      <w:r>
        <w:t>The next engineering step is controlled rerun support. This should start with safe, explicit scenario patches derived from refiner recommendations, such as solver time-limit changes or obvious path repairs. More invasive changes, such as adding capacity or relaxing policy constraints, should remain review-only until the patch contract and rollback behavior are stable.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AI Energy System Modeling Agent Update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