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AI-ESM Agent Skills Documentation</w:t>
      </w:r>
    </w:p>
    <w:p>
      <w:pPr>
        <w:spacing w:after="280"/>
      </w:pPr>
      <w:r>
        <w:rPr>
          <w:rFonts w:ascii="Arial" w:hAnsi="Arial" w:eastAsia="Arial"/>
          <w:color w:val="555555"/>
          <w:sz w:val="22"/>
        </w:rPr>
        <w:t>Brief guide to agent skills, current AI-ESM skills, usage patterns, and update workflow.</w:t>
      </w:r>
    </w:p>
    <w:p>
      <w:pPr/>
      <w:r>
        <w:t>This document describes the reusable agent skills in the AI-ESM project. It is intended for researchers and developers who want to understand what each skill does, how Codex uses it, and how the skill library should evolve as the modeling workflow expands.</w:t>
      </w:r>
    </w:p>
    <w:p>
      <w:pPr>
        <w:pStyle w:val="Heading1"/>
      </w:pPr>
      <w:r>
        <w:t>1. What are agent skills?</w:t>
      </w:r>
    </w:p>
    <w:p>
      <w:pPr/>
      <w:r>
        <w:t>Agent skills are reusable task instructions that give Codex a stable operating procedure for specialized work. A skill usually defines when it should be invoked, what inputs it expects, what outputs it should produce, which checks it should run, and how to respond to common failure modes.</w:t>
      </w:r>
    </w:p>
    <w:p>
      <w:pPr/>
      <w:r>
        <w:t>In AI-ESM, skills are used to make energy-system modeling workflows less dependent on one-off prompts. They turn recurring tasks such as scenario generation, solver execution, log diagnosis, output validation, refinement, and memory tracking into documented, reviewable capabilities.</w:t>
      </w:r>
    </w:p>
    <w:p>
      <w:pPr>
        <w:pStyle w:val="Heading1"/>
      </w:pPr>
      <w:r>
        <w:t>2. Why skills matter for AI-ESM</w:t>
      </w:r>
    </w:p>
    <w:p>
      <w:pPr>
        <w:pStyle w:val="ListBullet"/>
      </w:pPr>
      <w:r>
        <w:t>Consistency: Codex can follow the same domain-specific procedure across runs instead of improvising each step.</w:t>
      </w:r>
    </w:p>
    <w:p>
      <w:pPr>
        <w:pStyle w:val="ListBullet"/>
      </w:pPr>
      <w:r>
        <w:t>Traceability: Skill inputs, outputs, and failure modes make it easier to inspect why an agent took a particular action.</w:t>
      </w:r>
    </w:p>
    <w:p>
      <w:pPr>
        <w:pStyle w:val="ListBullet"/>
      </w:pPr>
      <w:r>
        <w:t>Modularity: Researchers can improve one capability, such as solver-log analysis, without rewriting the whole workflow.</w:t>
      </w:r>
    </w:p>
    <w:p>
      <w:pPr>
        <w:pStyle w:val="ListBullet"/>
      </w:pPr>
      <w:r>
        <w:t>Safety: Skills can define explicit boundaries, such as keeping structural scenario edits recommendation-only until a patch approval workflow exists.</w:t>
      </w:r>
    </w:p>
    <w:p>
      <w:pPr>
        <w:pStyle w:val="Heading1"/>
      </w:pPr>
      <w:r>
        <w:t>3. Current AI-ESM skill library</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00"/>
        <w:gridCol w:w="2700"/>
        <w:gridCol w:w="2500"/>
        <w:gridCol w:w="2460"/>
      </w:tblGrid>
      <w:tr>
        <w:tc>
          <w:tcPr>
            <w:tcW w:type="dxa" w:w="1700"/>
            <w:shd w:fill="F8F9FA"/>
            <w:tcMar>
              <w:top w:w="80" w:type="dxa"/>
              <w:start w:w="120" w:type="dxa"/>
              <w:bottom w:w="80" w:type="dxa"/>
              <w:end w:w="120" w:type="dxa"/>
            </w:tcMar>
            <w:vAlign w:val="center"/>
          </w:tcPr>
          <w:p>
            <w:r>
              <w:rPr>
                <w:rFonts w:ascii="Arial" w:hAnsi="Arial" w:eastAsia="Arial"/>
                <w:b/>
                <w:sz w:val="20"/>
              </w:rPr>
              <w:t>Skill</w:t>
            </w:r>
          </w:p>
        </w:tc>
        <w:tc>
          <w:tcPr>
            <w:tcW w:type="dxa" w:w="2700"/>
            <w:shd w:fill="F8F9FA"/>
            <w:tcMar>
              <w:top w:w="80" w:type="dxa"/>
              <w:start w:w="120" w:type="dxa"/>
              <w:bottom w:w="80" w:type="dxa"/>
              <w:end w:w="120" w:type="dxa"/>
            </w:tcMar>
            <w:vAlign w:val="center"/>
          </w:tcPr>
          <w:p>
            <w:r>
              <w:rPr>
                <w:rFonts w:ascii="Arial" w:hAnsi="Arial" w:eastAsia="Arial"/>
                <w:b/>
                <w:sz w:val="20"/>
              </w:rPr>
              <w:t>Purpose</w:t>
            </w:r>
          </w:p>
        </w:tc>
        <w:tc>
          <w:tcPr>
            <w:tcW w:type="dxa" w:w="2500"/>
            <w:shd w:fill="F8F9FA"/>
            <w:tcMar>
              <w:top w:w="80" w:type="dxa"/>
              <w:start w:w="120" w:type="dxa"/>
              <w:bottom w:w="80" w:type="dxa"/>
              <w:end w:w="120" w:type="dxa"/>
            </w:tcMar>
            <w:vAlign w:val="center"/>
          </w:tcPr>
          <w:p>
            <w:r>
              <w:rPr>
                <w:rFonts w:ascii="Arial" w:hAnsi="Arial" w:eastAsia="Arial"/>
                <w:b/>
                <w:sz w:val="20"/>
              </w:rPr>
              <w:t>When to use</w:t>
            </w:r>
          </w:p>
        </w:tc>
        <w:tc>
          <w:tcPr>
            <w:tcW w:type="dxa" w:w="2460"/>
            <w:shd w:fill="F8F9FA"/>
            <w:tcMar>
              <w:top w:w="80" w:type="dxa"/>
              <w:start w:w="120" w:type="dxa"/>
              <w:bottom w:w="80" w:type="dxa"/>
              <w:end w:w="120" w:type="dxa"/>
            </w:tcMar>
            <w:vAlign w:val="center"/>
          </w:tcPr>
          <w:p>
            <w:r>
              <w:rPr>
                <w:rFonts w:ascii="Arial" w:hAnsi="Arial" w:eastAsia="Arial"/>
                <w:b/>
                <w:sz w:val="20"/>
              </w:rPr>
              <w:t>Main content</w:t>
            </w:r>
          </w:p>
        </w:tc>
      </w:tr>
      <w:tr>
        <w:tc>
          <w:tcPr>
            <w:tcW w:type="dxa" w:w="1700"/>
            <w:tcMar>
              <w:top w:w="80" w:type="dxa"/>
              <w:start w:w="120" w:type="dxa"/>
              <w:bottom w:w="80" w:type="dxa"/>
              <w:end w:w="120" w:type="dxa"/>
            </w:tcMar>
            <w:vAlign w:val="center"/>
          </w:tcPr>
          <w:p>
            <w:pPr>
              <w:spacing w:after="0"/>
            </w:pPr>
            <w:r>
              <w:rPr>
                <w:rFonts w:ascii="Arial" w:hAnsi="Arial" w:eastAsia="Arial"/>
                <w:sz w:val="19"/>
              </w:rPr>
              <w:t>code_generator</w:t>
            </w:r>
          </w:p>
        </w:tc>
        <w:tc>
          <w:tcPr>
            <w:tcW w:type="dxa" w:w="2700"/>
            <w:tcMar>
              <w:top w:w="80" w:type="dxa"/>
              <w:start w:w="120" w:type="dxa"/>
              <w:bottom w:w="80" w:type="dxa"/>
              <w:end w:w="120" w:type="dxa"/>
            </w:tcMar>
            <w:vAlign w:val="center"/>
          </w:tcPr>
          <w:p>
            <w:pPr>
              <w:spacing w:after="0"/>
            </w:pPr>
            <w:r>
              <w:rPr>
                <w:rFonts w:ascii="Arial" w:hAnsi="Arial" w:eastAsia="Arial"/>
                <w:sz w:val="19"/>
              </w:rPr>
              <w:t>Generates, edits, refactors, and repairs Python, Julia/JuMP, Gurobi, sbatch, YAML, and JSON artifacts.</w:t>
            </w:r>
          </w:p>
        </w:tc>
        <w:tc>
          <w:tcPr>
            <w:tcW w:type="dxa" w:w="2500"/>
            <w:tcMar>
              <w:top w:w="80" w:type="dxa"/>
              <w:start w:w="120" w:type="dxa"/>
              <w:bottom w:w="80" w:type="dxa"/>
              <w:end w:w="120" w:type="dxa"/>
            </w:tcMar>
            <w:vAlign w:val="center"/>
          </w:tcPr>
          <w:p>
            <w:pPr>
              <w:spacing w:after="0"/>
            </w:pPr>
            <w:r>
              <w:rPr>
                <w:rFonts w:ascii="Arial" w:hAnsi="Arial" w:eastAsia="Arial"/>
                <w:sz w:val="19"/>
              </w:rPr>
              <w:t>Use when the workflow needs concrete code, model changes, solver settings, HPC scripts, parameter sweeps, or log-driven fixes.</w:t>
            </w:r>
          </w:p>
        </w:tc>
        <w:tc>
          <w:tcPr>
            <w:tcW w:type="dxa" w:w="2460"/>
            <w:tcMar>
              <w:top w:w="80" w:type="dxa"/>
              <w:start w:w="120" w:type="dxa"/>
              <w:bottom w:w="80" w:type="dxa"/>
              <w:end w:w="120" w:type="dxa"/>
            </w:tcMar>
            <w:vAlign w:val="center"/>
          </w:tcPr>
          <w:p>
            <w:pPr>
              <w:spacing w:after="0"/>
            </w:pPr>
            <w:r>
              <w:rPr>
                <w:rFonts w:ascii="Arial" w:hAnsi="Arial" w:eastAsia="Arial"/>
                <w:sz w:val="19"/>
              </w:rPr>
              <w:t>SKILL.md, examples for configs/runners/JuMP/sbatch, references for JuMP, Python workflow, and HPC patterns.</w:t>
            </w:r>
          </w:p>
        </w:tc>
      </w:tr>
      <w:tr>
        <w:tc>
          <w:tcPr>
            <w:tcW w:type="dxa" w:w="1700"/>
            <w:tcMar>
              <w:top w:w="80" w:type="dxa"/>
              <w:start w:w="120" w:type="dxa"/>
              <w:bottom w:w="80" w:type="dxa"/>
              <w:end w:w="120" w:type="dxa"/>
            </w:tcMar>
            <w:vAlign w:val="center"/>
          </w:tcPr>
          <w:p>
            <w:pPr>
              <w:spacing w:after="0"/>
            </w:pPr>
            <w:r>
              <w:rPr>
                <w:rFonts w:ascii="Arial" w:hAnsi="Arial" w:eastAsia="Arial"/>
                <w:sz w:val="19"/>
              </w:rPr>
              <w:t>scenario_builder</w:t>
            </w:r>
          </w:p>
        </w:tc>
        <w:tc>
          <w:tcPr>
            <w:tcW w:type="dxa" w:w="2700"/>
            <w:tcMar>
              <w:top w:w="80" w:type="dxa"/>
              <w:start w:w="120" w:type="dxa"/>
              <w:bottom w:w="80" w:type="dxa"/>
              <w:end w:w="120" w:type="dxa"/>
            </w:tcMar>
            <w:vAlign w:val="center"/>
          </w:tcPr>
          <w:p>
            <w:pPr>
              <w:spacing w:after="0"/>
            </w:pPr>
            <w:r>
              <w:rPr>
                <w:rFonts w:ascii="Arial" w:hAnsi="Arial" w:eastAsia="Arial"/>
                <w:sz w:val="19"/>
              </w:rPr>
              <w:t>Turns high-level modeling goals into validated, solver-ready scenario configuration files.</w:t>
            </w:r>
          </w:p>
        </w:tc>
        <w:tc>
          <w:tcPr>
            <w:tcW w:type="dxa" w:w="2500"/>
            <w:tcMar>
              <w:top w:w="80" w:type="dxa"/>
              <w:start w:w="120" w:type="dxa"/>
              <w:bottom w:w="80" w:type="dxa"/>
              <w:end w:w="120" w:type="dxa"/>
            </w:tcMar>
            <w:vAlign w:val="center"/>
          </w:tcPr>
          <w:p>
            <w:pPr>
              <w:spacing w:after="0"/>
            </w:pPr>
            <w:r>
              <w:rPr>
                <w:rFonts w:ascii="Arial" w:hAnsi="Arial" w:eastAsia="Arial"/>
                <w:sz w:val="19"/>
              </w:rPr>
              <w:t>Use at iteration start, after structural refinement requests, or when planning assumptions change.</w:t>
            </w:r>
          </w:p>
        </w:tc>
        <w:tc>
          <w:tcPr>
            <w:tcW w:type="dxa" w:w="2460"/>
            <w:tcMar>
              <w:top w:w="80" w:type="dxa"/>
              <w:start w:w="120" w:type="dxa"/>
              <w:bottom w:w="80" w:type="dxa"/>
              <w:end w:w="120" w:type="dxa"/>
            </w:tcMar>
            <w:vAlign w:val="center"/>
          </w:tcPr>
          <w:p>
            <w:pPr>
              <w:spacing w:after="0"/>
            </w:pPr>
            <w:r>
              <w:rPr>
                <w:rFonts w:ascii="Arial" w:hAnsi="Arial" w:eastAsia="Arial"/>
                <w:sz w:val="19"/>
              </w:rPr>
              <w:t>Scenario request schema, scenario_config output schema, validation heuristics, and example config.</w:t>
            </w:r>
          </w:p>
        </w:tc>
      </w:tr>
      <w:tr>
        <w:tc>
          <w:tcPr>
            <w:tcW w:type="dxa" w:w="1700"/>
            <w:tcMar>
              <w:top w:w="80" w:type="dxa"/>
              <w:start w:w="120" w:type="dxa"/>
              <w:bottom w:w="80" w:type="dxa"/>
              <w:end w:w="120" w:type="dxa"/>
            </w:tcMar>
            <w:vAlign w:val="center"/>
          </w:tcPr>
          <w:p>
            <w:pPr>
              <w:spacing w:after="0"/>
            </w:pPr>
            <w:r>
              <w:rPr>
                <w:rFonts w:ascii="Arial" w:hAnsi="Arial" w:eastAsia="Arial"/>
                <w:sz w:val="19"/>
              </w:rPr>
              <w:t>supervisory_controller</w:t>
            </w:r>
          </w:p>
        </w:tc>
        <w:tc>
          <w:tcPr>
            <w:tcW w:type="dxa" w:w="2700"/>
            <w:tcMar>
              <w:top w:w="80" w:type="dxa"/>
              <w:start w:w="120" w:type="dxa"/>
              <w:bottom w:w="80" w:type="dxa"/>
              <w:end w:w="120" w:type="dxa"/>
            </w:tcMar>
            <w:vAlign w:val="center"/>
          </w:tcPr>
          <w:p>
            <w:pPr>
              <w:spacing w:after="0"/>
            </w:pPr>
            <w:r>
              <w:rPr>
                <w:rFonts w:ascii="Arial" w:hAnsi="Arial" w:eastAsia="Arial"/>
                <w:sz w:val="19"/>
              </w:rPr>
              <w:t>Coordinates the iterative optimization loop, routing, budgets, and termination decisions.</w:t>
            </w:r>
          </w:p>
        </w:tc>
        <w:tc>
          <w:tcPr>
            <w:tcW w:type="dxa" w:w="2500"/>
            <w:tcMar>
              <w:top w:w="80" w:type="dxa"/>
              <w:start w:w="120" w:type="dxa"/>
              <w:bottom w:w="80" w:type="dxa"/>
              <w:end w:w="120" w:type="dxa"/>
            </w:tcMar>
            <w:vAlign w:val="center"/>
          </w:tcPr>
          <w:p>
            <w:pPr>
              <w:spacing w:after="0"/>
            </w:pPr>
            <w:r>
              <w:rPr>
                <w:rFonts w:ascii="Arial" w:hAnsi="Arial" w:eastAsia="Arial"/>
                <w:sz w:val="19"/>
              </w:rPr>
              <w:t>Use immediately after a valid scenario config and at each iteration boundary.</w:t>
            </w:r>
          </w:p>
        </w:tc>
        <w:tc>
          <w:tcPr>
            <w:tcW w:type="dxa" w:w="2460"/>
            <w:tcMar>
              <w:top w:w="80" w:type="dxa"/>
              <w:start w:w="120" w:type="dxa"/>
              <w:bottom w:w="80" w:type="dxa"/>
              <w:end w:w="120" w:type="dxa"/>
            </w:tcMar>
            <w:vAlign w:val="center"/>
          </w:tcPr>
          <w:p>
            <w:pPr>
              <w:spacing w:after="0"/>
            </w:pPr>
            <w:r>
              <w:rPr>
                <w:rFonts w:ascii="Arial" w:hAnsi="Arial" w:eastAsia="Arial"/>
                <w:sz w:val="19"/>
              </w:rPr>
              <w:t>Controller input/output contracts, action vocabulary, budget rules, and termination criteria.</w:t>
            </w:r>
          </w:p>
        </w:tc>
      </w:tr>
      <w:tr>
        <w:tc>
          <w:tcPr>
            <w:tcW w:type="dxa" w:w="1700"/>
            <w:tcMar>
              <w:top w:w="80" w:type="dxa"/>
              <w:start w:w="120" w:type="dxa"/>
              <w:bottom w:w="80" w:type="dxa"/>
              <w:end w:w="120" w:type="dxa"/>
            </w:tcMar>
            <w:vAlign w:val="center"/>
          </w:tcPr>
          <w:p>
            <w:pPr>
              <w:spacing w:after="0"/>
            </w:pPr>
            <w:r>
              <w:rPr>
                <w:rFonts w:ascii="Arial" w:hAnsi="Arial" w:eastAsia="Arial"/>
                <w:sz w:val="19"/>
              </w:rPr>
              <w:t>model_executor</w:t>
            </w:r>
          </w:p>
        </w:tc>
        <w:tc>
          <w:tcPr>
            <w:tcW w:type="dxa" w:w="2700"/>
            <w:tcMar>
              <w:top w:w="80" w:type="dxa"/>
              <w:start w:w="120" w:type="dxa"/>
              <w:bottom w:w="80" w:type="dxa"/>
              <w:end w:w="120" w:type="dxa"/>
            </w:tcMar>
            <w:vAlign w:val="center"/>
          </w:tcPr>
          <w:p>
            <w:pPr>
              <w:spacing w:after="0"/>
            </w:pPr>
            <w:r>
              <w:rPr>
                <w:rFonts w:ascii="Arial" w:hAnsi="Arial" w:eastAsia="Arial"/>
                <w:sz w:val="19"/>
              </w:rPr>
              <w:t>Executes a validated scenario through a model runner or mock dispatcher and collects raw solver outputs.</w:t>
            </w:r>
          </w:p>
        </w:tc>
        <w:tc>
          <w:tcPr>
            <w:tcW w:type="dxa" w:w="2500"/>
            <w:tcMar>
              <w:top w:w="80" w:type="dxa"/>
              <w:start w:w="120" w:type="dxa"/>
              <w:bottom w:w="80" w:type="dxa"/>
              <w:end w:w="120" w:type="dxa"/>
            </w:tcMar>
            <w:vAlign w:val="center"/>
          </w:tcPr>
          <w:p>
            <w:pPr>
              <w:spacing w:after="0"/>
            </w:pPr>
            <w:r>
              <w:rPr>
                <w:rFonts w:ascii="Arial" w:hAnsi="Arial" w:eastAsia="Arial"/>
                <w:sz w:val="19"/>
              </w:rPr>
              <w:t>Use when the controller issues LAUNCH_SOLVER for a first run or rerun.</w:t>
            </w:r>
          </w:p>
        </w:tc>
        <w:tc>
          <w:tcPr>
            <w:tcW w:type="dxa" w:w="2460"/>
            <w:tcMar>
              <w:top w:w="80" w:type="dxa"/>
              <w:start w:w="120" w:type="dxa"/>
              <w:bottom w:w="80" w:type="dxa"/>
              <w:end w:w="120" w:type="dxa"/>
            </w:tcMar>
            <w:vAlign w:val="center"/>
          </w:tcPr>
          <w:p>
            <w:pPr>
              <w:spacing w:after="0"/>
            </w:pPr>
            <w:r>
              <w:rPr>
                <w:rFonts w:ascii="Arial" w:hAnsi="Arial" w:eastAsia="Arial"/>
                <w:sz w:val="19"/>
              </w:rPr>
              <w:t>Executor input/output contract, mock mode, real solver hooks, log and artifact retention rules.</w:t>
            </w:r>
          </w:p>
        </w:tc>
      </w:tr>
      <w:tr>
        <w:tc>
          <w:tcPr>
            <w:tcW w:type="dxa" w:w="1700"/>
            <w:tcMar>
              <w:top w:w="80" w:type="dxa"/>
              <w:start w:w="120" w:type="dxa"/>
              <w:bottom w:w="80" w:type="dxa"/>
              <w:end w:w="120" w:type="dxa"/>
            </w:tcMar>
            <w:vAlign w:val="center"/>
          </w:tcPr>
          <w:p>
            <w:pPr>
              <w:spacing w:after="0"/>
            </w:pPr>
            <w:r>
              <w:rPr>
                <w:rFonts w:ascii="Arial" w:hAnsi="Arial" w:eastAsia="Arial"/>
                <w:sz w:val="19"/>
              </w:rPr>
              <w:t>solver_log_analyzer</w:t>
            </w:r>
          </w:p>
        </w:tc>
        <w:tc>
          <w:tcPr>
            <w:tcW w:type="dxa" w:w="2700"/>
            <w:tcMar>
              <w:top w:w="80" w:type="dxa"/>
              <w:start w:w="120" w:type="dxa"/>
              <w:bottom w:w="80" w:type="dxa"/>
              <w:end w:w="120" w:type="dxa"/>
            </w:tcMar>
            <w:vAlign w:val="center"/>
          </w:tcPr>
          <w:p>
            <w:pPr>
              <w:spacing w:after="0"/>
            </w:pPr>
            <w:r>
              <w:rPr>
                <w:rFonts w:ascii="Arial" w:hAnsi="Arial" w:eastAsia="Arial"/>
                <w:sz w:val="19"/>
              </w:rPr>
              <w:t>Parses solver logs to diagnose infeasibility, timeouts, convergence problems, and numerical instability.</w:t>
            </w:r>
          </w:p>
        </w:tc>
        <w:tc>
          <w:tcPr>
            <w:tcW w:type="dxa" w:w="2500"/>
            <w:tcMar>
              <w:top w:w="80" w:type="dxa"/>
              <w:start w:w="120" w:type="dxa"/>
              <w:bottom w:w="80" w:type="dxa"/>
              <w:end w:w="120" w:type="dxa"/>
            </w:tcMar>
            <w:vAlign w:val="center"/>
          </w:tcPr>
          <w:p>
            <w:pPr>
              <w:spacing w:after="0"/>
            </w:pPr>
            <w:r>
              <w:rPr>
                <w:rFonts w:ascii="Arial" w:hAnsi="Arial" w:eastAsia="Arial"/>
                <w:sz w:val="19"/>
              </w:rPr>
              <w:t>Use after every model execution, including completed, failed, infeasible, and timeout runs.</w:t>
            </w:r>
          </w:p>
        </w:tc>
        <w:tc>
          <w:tcPr>
            <w:tcW w:type="dxa" w:w="2460"/>
            <w:tcMar>
              <w:top w:w="80" w:type="dxa"/>
              <w:start w:w="120" w:type="dxa"/>
              <w:bottom w:w="80" w:type="dxa"/>
              <w:end w:w="120" w:type="dxa"/>
            </w:tcMar>
            <w:vAlign w:val="center"/>
          </w:tcPr>
          <w:p>
            <w:pPr>
              <w:spacing w:after="0"/>
            </w:pPr>
            <w:r>
              <w:rPr>
                <w:rFonts w:ascii="Arial" w:hAnsi="Arial" w:eastAsia="Arial"/>
                <w:sz w:val="19"/>
              </w:rPr>
              <w:t>Log-analysis schema, termination detection, infeasibility mapping, convergence heuristics, performance extraction.</w:t>
            </w:r>
          </w:p>
        </w:tc>
      </w:tr>
      <w:tr>
        <w:tc>
          <w:tcPr>
            <w:tcW w:type="dxa" w:w="1700"/>
            <w:tcMar>
              <w:top w:w="80" w:type="dxa"/>
              <w:start w:w="120" w:type="dxa"/>
              <w:bottom w:w="80" w:type="dxa"/>
              <w:end w:w="120" w:type="dxa"/>
            </w:tcMar>
            <w:vAlign w:val="center"/>
          </w:tcPr>
          <w:p>
            <w:pPr>
              <w:spacing w:after="0"/>
            </w:pPr>
            <w:r>
              <w:rPr>
                <w:rFonts w:ascii="Arial" w:hAnsi="Arial" w:eastAsia="Arial"/>
                <w:sz w:val="19"/>
              </w:rPr>
              <w:t>output_analysis_agent</w:t>
            </w:r>
          </w:p>
        </w:tc>
        <w:tc>
          <w:tcPr>
            <w:tcW w:type="dxa" w:w="2700"/>
            <w:tcMar>
              <w:top w:w="80" w:type="dxa"/>
              <w:start w:w="120" w:type="dxa"/>
              <w:bottom w:w="80" w:type="dxa"/>
              <w:end w:w="120" w:type="dxa"/>
            </w:tcMar>
            <w:vAlign w:val="center"/>
          </w:tcPr>
          <w:p>
            <w:pPr>
              <w:spacing w:after="0"/>
            </w:pPr>
            <w:r>
              <w:rPr>
                <w:rFonts w:ascii="Arial" w:hAnsi="Arial" w:eastAsia="Arial"/>
                <w:sz w:val="19"/>
              </w:rPr>
              <w:t>Validates dispatch outputs for physical feasibility, economic plausibility, emissions behavior, and anomalies.</w:t>
            </w:r>
          </w:p>
        </w:tc>
        <w:tc>
          <w:tcPr>
            <w:tcW w:type="dxa" w:w="2500"/>
            <w:tcMar>
              <w:top w:w="80" w:type="dxa"/>
              <w:start w:w="120" w:type="dxa"/>
              <w:bottom w:w="80" w:type="dxa"/>
              <w:end w:w="120" w:type="dxa"/>
            </w:tcMar>
            <w:vAlign w:val="center"/>
          </w:tcPr>
          <w:p>
            <w:pPr>
              <w:spacing w:after="0"/>
            </w:pPr>
            <w:r>
              <w:rPr>
                <w:rFonts w:ascii="Arial" w:hAnsi="Arial" w:eastAsia="Arial"/>
                <w:sz w:val="19"/>
              </w:rPr>
              <w:t>Use after successful or time-limited solves when a solution exists.</w:t>
            </w:r>
          </w:p>
        </w:tc>
        <w:tc>
          <w:tcPr>
            <w:tcW w:type="dxa" w:w="2460"/>
            <w:tcMar>
              <w:top w:w="80" w:type="dxa"/>
              <w:start w:w="120" w:type="dxa"/>
              <w:bottom w:w="80" w:type="dxa"/>
              <w:end w:w="120" w:type="dxa"/>
            </w:tcMar>
            <w:vAlign w:val="center"/>
          </w:tcPr>
          <w:p>
            <w:pPr>
              <w:spacing w:after="0"/>
            </w:pPr>
            <w:r>
              <w:rPr>
                <w:rFonts w:ascii="Arial" w:hAnsi="Arial" w:eastAsia="Arial"/>
                <w:sz w:val="19"/>
              </w:rPr>
              <w:t>Power balance, bounds, ramp, cost, emissions, renewable target, and load-shedding checks.</w:t>
            </w:r>
          </w:p>
        </w:tc>
      </w:tr>
      <w:tr>
        <w:tc>
          <w:tcPr>
            <w:tcW w:type="dxa" w:w="1700"/>
            <w:tcMar>
              <w:top w:w="80" w:type="dxa"/>
              <w:start w:w="120" w:type="dxa"/>
              <w:bottom w:w="80" w:type="dxa"/>
              <w:end w:w="120" w:type="dxa"/>
            </w:tcMar>
            <w:vAlign w:val="center"/>
          </w:tcPr>
          <w:p>
            <w:pPr>
              <w:spacing w:after="0"/>
            </w:pPr>
            <w:r>
              <w:rPr>
                <w:rFonts w:ascii="Arial" w:hAnsi="Arial" w:eastAsia="Arial"/>
                <w:sz w:val="19"/>
              </w:rPr>
              <w:t>refiner_agent</w:t>
            </w:r>
          </w:p>
        </w:tc>
        <w:tc>
          <w:tcPr>
            <w:tcW w:type="dxa" w:w="2700"/>
            <w:tcMar>
              <w:top w:w="80" w:type="dxa"/>
              <w:start w:w="120" w:type="dxa"/>
              <w:bottom w:w="80" w:type="dxa"/>
              <w:end w:w="120" w:type="dxa"/>
            </w:tcMar>
            <w:vAlign w:val="center"/>
          </w:tcPr>
          <w:p>
            <w:pPr>
              <w:spacing w:after="0"/>
            </w:pPr>
            <w:r>
              <w:rPr>
                <w:rFonts w:ascii="Arial" w:hAnsi="Arial" w:eastAsia="Arial"/>
                <w:sz w:val="19"/>
              </w:rPr>
              <w:t>Converts solver and output diagnostics into targeted refinement recommendations.</w:t>
            </w:r>
          </w:p>
        </w:tc>
        <w:tc>
          <w:tcPr>
            <w:tcW w:type="dxa" w:w="2500"/>
            <w:tcMar>
              <w:top w:w="80" w:type="dxa"/>
              <w:start w:w="120" w:type="dxa"/>
              <w:bottom w:w="80" w:type="dxa"/>
              <w:end w:w="120" w:type="dxa"/>
            </w:tcMar>
            <w:vAlign w:val="center"/>
          </w:tcPr>
          <w:p>
            <w:pPr>
              <w:spacing w:after="0"/>
            </w:pPr>
            <w:r>
              <w:rPr>
                <w:rFonts w:ascii="Arial" w:hAnsi="Arial" w:eastAsia="Arial"/>
                <w:sz w:val="19"/>
              </w:rPr>
              <w:t>Use when logs or outputs are WARN, ANOMALY, INFEASIBLE, NUMERICAL_ERROR, TIMEOUT_SUBOPTIMAL, or otherwise non-OK.</w:t>
            </w:r>
          </w:p>
        </w:tc>
        <w:tc>
          <w:tcPr>
            <w:tcW w:type="dxa" w:w="2460"/>
            <w:tcMar>
              <w:top w:w="80" w:type="dxa"/>
              <w:start w:w="120" w:type="dxa"/>
              <w:bottom w:w="80" w:type="dxa"/>
              <w:end w:w="120" w:type="dxa"/>
            </w:tcMar>
            <w:vAlign w:val="center"/>
          </w:tcPr>
          <w:p>
            <w:pPr>
              <w:spacing w:after="0"/>
            </w:pPr>
            <w:r>
              <w:rPr>
                <w:rFonts w:ascii="Arial" w:hAnsi="Arial" w:eastAsia="Arial"/>
                <w:sz w:val="19"/>
              </w:rPr>
              <w:t>Failure-mode priority, fix logic, safe recommendation types, confidence, and refinement_overrides schema.</w:t>
            </w:r>
          </w:p>
        </w:tc>
      </w:tr>
      <w:tr>
        <w:tc>
          <w:tcPr>
            <w:tcW w:type="dxa" w:w="1700"/>
            <w:tcMar>
              <w:top w:w="80" w:type="dxa"/>
              <w:start w:w="120" w:type="dxa"/>
              <w:bottom w:w="80" w:type="dxa"/>
              <w:end w:w="120" w:type="dxa"/>
            </w:tcMar>
            <w:vAlign w:val="center"/>
          </w:tcPr>
          <w:p>
            <w:pPr>
              <w:spacing w:after="0"/>
            </w:pPr>
            <w:r>
              <w:rPr>
                <w:rFonts w:ascii="Arial" w:hAnsi="Arial" w:eastAsia="Arial"/>
                <w:sz w:val="19"/>
              </w:rPr>
              <w:t>iteration_memory</w:t>
            </w:r>
          </w:p>
        </w:tc>
        <w:tc>
          <w:tcPr>
            <w:tcW w:type="dxa" w:w="2700"/>
            <w:tcMar>
              <w:top w:w="80" w:type="dxa"/>
              <w:start w:w="120" w:type="dxa"/>
              <w:bottom w:w="80" w:type="dxa"/>
              <w:end w:w="120" w:type="dxa"/>
            </w:tcMar>
            <w:vAlign w:val="center"/>
          </w:tcPr>
          <w:p>
            <w:pPr>
              <w:spacing w:after="0"/>
            </w:pPr>
            <w:r>
              <w:rPr>
                <w:rFonts w:ascii="Arial" w:hAnsi="Arial" w:eastAsia="Arial"/>
                <w:sz w:val="19"/>
              </w:rPr>
              <w:t>Records and summarizes optimization history, convergence trends, best solutions, and repeated failure patterns.</w:t>
            </w:r>
          </w:p>
        </w:tc>
        <w:tc>
          <w:tcPr>
            <w:tcW w:type="dxa" w:w="2500"/>
            <w:tcMar>
              <w:top w:w="80" w:type="dxa"/>
              <w:start w:w="120" w:type="dxa"/>
              <w:bottom w:w="80" w:type="dxa"/>
              <w:end w:w="120" w:type="dxa"/>
            </w:tcMar>
            <w:vAlign w:val="center"/>
          </w:tcPr>
          <w:p>
            <w:pPr>
              <w:spacing w:after="0"/>
            </w:pPr>
            <w:r>
              <w:rPr>
                <w:rFonts w:ascii="Arial" w:hAnsi="Arial" w:eastAsia="Arial"/>
                <w:sz w:val="19"/>
              </w:rPr>
              <w:t>Use before and after iterations, and before proposing a fix that may have failed previously.</w:t>
            </w:r>
          </w:p>
        </w:tc>
        <w:tc>
          <w:tcPr>
            <w:tcW w:type="dxa" w:w="2460"/>
            <w:tcMar>
              <w:top w:w="80" w:type="dxa"/>
              <w:start w:w="120" w:type="dxa"/>
              <w:bottom w:w="80" w:type="dxa"/>
              <w:end w:w="120" w:type="dxa"/>
            </w:tcMar>
            <w:vAlign w:val="center"/>
          </w:tcPr>
          <w:p>
            <w:pPr>
              <w:spacing w:after="0"/>
            </w:pPr>
            <w:r>
              <w:rPr>
                <w:rFonts w:ascii="Arial" w:hAnsi="Arial" w:eastAsia="Arial"/>
                <w:sz w:val="19"/>
              </w:rPr>
              <w:t>Append-only history structure, query modes, plateau detection, failure pattern hashing, and comparison logic.</w:t>
            </w:r>
          </w:p>
        </w:tc>
      </w:tr>
    </w:tbl>
    <w:p/>
    <w:p>
      <w:pPr>
        <w:pStyle w:val="Heading1"/>
      </w:pPr>
      <w:r>
        <w:t>4. How Codex uses these skills</w:t>
      </w:r>
    </w:p>
    <w:p>
      <w:pPr>
        <w:pStyle w:val="ListNumber"/>
      </w:pPr>
      <w:r>
        <w:t>A researcher gives a modeling goal, debugging request, or workflow task.</w:t>
      </w:r>
    </w:p>
    <w:p>
      <w:pPr>
        <w:pStyle w:val="ListNumber"/>
      </w:pPr>
      <w:r>
        <w:t>Codex selects the smallest relevant skill or skill sequence and reads the corresponding SKILL.md instructions.</w:t>
      </w:r>
    </w:p>
    <w:p>
      <w:pPr>
        <w:pStyle w:val="ListNumber"/>
      </w:pPr>
      <w:r>
        <w:t>Codex acts on local artifacts such as scenario YAML, model code, solver logs, CSV outputs, run_state.json, and run_history.jsonl.</w:t>
      </w:r>
    </w:p>
    <w:p>
      <w:pPr>
        <w:pStyle w:val="ListNumber"/>
      </w:pPr>
      <w:r>
        <w:t>The skill produces concrete outputs: a generated config, a run, structured diagnostics, a refinement recommendation, or a memory update.</w:t>
      </w:r>
    </w:p>
    <w:p>
      <w:pPr>
        <w:pStyle w:val="ListNumber"/>
      </w:pPr>
      <w:r>
        <w:t>The supervisory controller or user decides whether to stop, rerun, restructure, or manually review the recommendation.</w:t>
      </w:r>
    </w:p>
    <w:p>
      <w:pPr>
        <w:pStyle w:val="Heading1"/>
      </w:pPr>
      <w:r>
        <w:t>5. Skill folder convention</w:t>
      </w:r>
    </w:p>
    <w:p>
      <w:pPr/>
      <w:r>
        <w:t>Each skill folder follows a common pattern so new capabilities are easy to inspect and maintain.</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7260"/>
      </w:tblGrid>
      <w:tr>
        <w:tc>
          <w:tcPr>
            <w:tcW w:type="dxa" w:w="2100"/>
            <w:shd w:fill="F8F9FA"/>
            <w:tcMar>
              <w:top w:w="80" w:type="dxa"/>
              <w:start w:w="120" w:type="dxa"/>
              <w:bottom w:w="80" w:type="dxa"/>
              <w:end w:w="120" w:type="dxa"/>
            </w:tcMar>
            <w:vAlign w:val="center"/>
          </w:tcPr>
          <w:p>
            <w:r>
              <w:rPr>
                <w:rFonts w:ascii="Arial" w:hAnsi="Arial" w:eastAsia="Arial"/>
                <w:b/>
                <w:sz w:val="20"/>
              </w:rPr>
              <w:t>Folder/file</w:t>
            </w:r>
          </w:p>
        </w:tc>
        <w:tc>
          <w:tcPr>
            <w:tcW w:type="dxa" w:w="7260"/>
            <w:shd w:fill="F8F9FA"/>
            <w:tcMar>
              <w:top w:w="80" w:type="dxa"/>
              <w:start w:w="120" w:type="dxa"/>
              <w:bottom w:w="80" w:type="dxa"/>
              <w:end w:w="120" w:type="dxa"/>
            </w:tcMar>
            <w:vAlign w:val="center"/>
          </w:tcPr>
          <w:p>
            <w:r>
              <w:rPr>
                <w:rFonts w:ascii="Arial" w:hAnsi="Arial" w:eastAsia="Arial"/>
                <w:b/>
                <w:sz w:val="20"/>
              </w:rPr>
              <w:t>Role</w:t>
            </w:r>
          </w:p>
        </w:tc>
      </w:tr>
      <w:tr>
        <w:tc>
          <w:tcPr>
            <w:tcW w:type="dxa" w:w="2100"/>
            <w:tcMar>
              <w:top w:w="80" w:type="dxa"/>
              <w:start w:w="120" w:type="dxa"/>
              <w:bottom w:w="80" w:type="dxa"/>
              <w:end w:w="120" w:type="dxa"/>
            </w:tcMar>
            <w:vAlign w:val="center"/>
          </w:tcPr>
          <w:p>
            <w:pPr>
              <w:spacing w:after="0"/>
            </w:pPr>
            <w:r>
              <w:rPr>
                <w:rFonts w:ascii="Arial" w:hAnsi="Arial" w:eastAsia="Arial"/>
                <w:sz w:val="19"/>
              </w:rPr>
              <w:t>SKILL.md</w:t>
            </w:r>
          </w:p>
        </w:tc>
        <w:tc>
          <w:tcPr>
            <w:tcW w:type="dxa" w:w="7260"/>
            <w:tcMar>
              <w:top w:w="80" w:type="dxa"/>
              <w:start w:w="120" w:type="dxa"/>
              <w:bottom w:w="80" w:type="dxa"/>
              <w:end w:w="120" w:type="dxa"/>
            </w:tcMar>
            <w:vAlign w:val="center"/>
          </w:tcPr>
          <w:p>
            <w:pPr>
              <w:spacing w:after="0"/>
            </w:pPr>
            <w:r>
              <w:rPr>
                <w:rFonts w:ascii="Arial" w:hAnsi="Arial" w:eastAsia="Arial"/>
                <w:sz w:val="19"/>
              </w:rPr>
              <w:t>Primary skill instructions: purpose, trigger conditions, input/output contracts, workflow steps, heuristics, and failure modes.</w:t>
            </w:r>
          </w:p>
        </w:tc>
      </w:tr>
      <w:tr>
        <w:tc>
          <w:tcPr>
            <w:tcW w:type="dxa" w:w="2100"/>
            <w:tcMar>
              <w:top w:w="80" w:type="dxa"/>
              <w:start w:w="120" w:type="dxa"/>
              <w:bottom w:w="80" w:type="dxa"/>
              <w:end w:w="120" w:type="dxa"/>
            </w:tcMar>
            <w:vAlign w:val="center"/>
          </w:tcPr>
          <w:p>
            <w:pPr>
              <w:spacing w:after="0"/>
            </w:pPr>
            <w:r>
              <w:rPr>
                <w:rFonts w:ascii="Arial" w:hAnsi="Arial" w:eastAsia="Arial"/>
                <w:sz w:val="19"/>
              </w:rPr>
              <w:t>scripts/</w:t>
            </w:r>
          </w:p>
        </w:tc>
        <w:tc>
          <w:tcPr>
            <w:tcW w:type="dxa" w:w="7260"/>
            <w:tcMar>
              <w:top w:w="80" w:type="dxa"/>
              <w:start w:w="120" w:type="dxa"/>
              <w:bottom w:w="80" w:type="dxa"/>
              <w:end w:w="120" w:type="dxa"/>
            </w:tcMar>
            <w:vAlign w:val="center"/>
          </w:tcPr>
          <w:p>
            <w:pPr>
              <w:spacing w:after="0"/>
            </w:pPr>
            <w:r>
              <w:rPr>
                <w:rFonts w:ascii="Arial" w:hAnsi="Arial" w:eastAsia="Arial"/>
                <w:sz w:val="19"/>
              </w:rPr>
              <w:t>Utilities, validators, parsers, or examples that support repeatable execution.</w:t>
            </w:r>
          </w:p>
        </w:tc>
      </w:tr>
      <w:tr>
        <w:tc>
          <w:tcPr>
            <w:tcW w:type="dxa" w:w="2100"/>
            <w:tcMar>
              <w:top w:w="80" w:type="dxa"/>
              <w:start w:w="120" w:type="dxa"/>
              <w:bottom w:w="80" w:type="dxa"/>
              <w:end w:w="120" w:type="dxa"/>
            </w:tcMar>
            <w:vAlign w:val="center"/>
          </w:tcPr>
          <w:p>
            <w:pPr>
              <w:spacing w:after="0"/>
            </w:pPr>
            <w:r>
              <w:rPr>
                <w:rFonts w:ascii="Arial" w:hAnsi="Arial" w:eastAsia="Arial"/>
                <w:sz w:val="19"/>
              </w:rPr>
              <w:t>assets/</w:t>
            </w:r>
          </w:p>
        </w:tc>
        <w:tc>
          <w:tcPr>
            <w:tcW w:type="dxa" w:w="7260"/>
            <w:tcMar>
              <w:top w:w="80" w:type="dxa"/>
              <w:start w:w="120" w:type="dxa"/>
              <w:bottom w:w="80" w:type="dxa"/>
              <w:end w:w="120" w:type="dxa"/>
            </w:tcMar>
            <w:vAlign w:val="center"/>
          </w:tcPr>
          <w:p>
            <w:pPr>
              <w:spacing w:after="0"/>
            </w:pPr>
            <w:r>
              <w:rPr>
                <w:rFonts w:ascii="Arial" w:hAnsi="Arial" w:eastAsia="Arial"/>
                <w:sz w:val="19"/>
              </w:rPr>
              <w:t>Example configs, logs, outputs, and sample inputs used for reference or regression checks.</w:t>
            </w:r>
          </w:p>
        </w:tc>
      </w:tr>
      <w:tr>
        <w:tc>
          <w:tcPr>
            <w:tcW w:type="dxa" w:w="2100"/>
            <w:tcMar>
              <w:top w:w="80" w:type="dxa"/>
              <w:start w:w="120" w:type="dxa"/>
              <w:bottom w:w="80" w:type="dxa"/>
              <w:end w:w="120" w:type="dxa"/>
            </w:tcMar>
            <w:vAlign w:val="center"/>
          </w:tcPr>
          <w:p>
            <w:pPr>
              <w:spacing w:after="0"/>
            </w:pPr>
            <w:r>
              <w:rPr>
                <w:rFonts w:ascii="Arial" w:hAnsi="Arial" w:eastAsia="Arial"/>
                <w:sz w:val="19"/>
              </w:rPr>
              <w:t>references/</w:t>
            </w:r>
          </w:p>
        </w:tc>
        <w:tc>
          <w:tcPr>
            <w:tcW w:type="dxa" w:w="7260"/>
            <w:tcMar>
              <w:top w:w="80" w:type="dxa"/>
              <w:start w:w="120" w:type="dxa"/>
              <w:bottom w:w="80" w:type="dxa"/>
              <w:end w:w="120" w:type="dxa"/>
            </w:tcMar>
            <w:vAlign w:val="center"/>
          </w:tcPr>
          <w:p>
            <w:pPr>
              <w:spacing w:after="0"/>
            </w:pPr>
            <w:r>
              <w:rPr>
                <w:rFonts w:ascii="Arial" w:hAnsi="Arial" w:eastAsia="Arial"/>
                <w:sz w:val="19"/>
              </w:rPr>
              <w:t>Domain assumptions, solver guidance, modeling notes, or deeper background used by the skill.</w:t>
            </w:r>
          </w:p>
        </w:tc>
      </w:tr>
    </w:tbl>
    <w:p/>
    <w:p>
      <w:pPr>
        <w:pStyle w:val="Heading1"/>
      </w:pPr>
      <w:r>
        <w:t>6. Future work: updating and extending skills</w:t>
      </w:r>
    </w:p>
    <w:p>
      <w:pPr/>
      <w:r>
        <w:t>Skill updates should be treated like changes to a modeling workflow contract. The goal is to keep Codex behavior predictable while expanding coverage.</w:t>
      </w:r>
    </w:p>
    <w:p>
      <w:pPr>
        <w:pStyle w:val="ListNumber"/>
      </w:pPr>
      <w:r>
        <w:t>Start from a concrete modeling gap, such as a missing solver failure pattern, new scenario type, or repeated manual review step.</w:t>
      </w:r>
    </w:p>
    <w:p>
      <w:pPr>
        <w:pStyle w:val="ListNumber"/>
      </w:pPr>
      <w:r>
        <w:t>Update SKILL.md with the new trigger condition, expected inputs, output schema, and failure behavior.</w:t>
      </w:r>
    </w:p>
    <w:p>
      <w:pPr>
        <w:pStyle w:val="ListNumber"/>
      </w:pPr>
      <w:r>
        <w:t>Add or update scripts and assets when the skill needs deterministic parsing, validation, or example-driven regression checks.</w:t>
      </w:r>
    </w:p>
    <w:p>
      <w:pPr>
        <w:pStyle w:val="ListNumber"/>
      </w:pPr>
      <w:r>
        <w:t>Keep boundaries explicit: separate safe automatic patches from recommendation-only actions requiring human approval.</w:t>
      </w:r>
    </w:p>
    <w:p>
      <w:pPr>
        <w:pStyle w:val="ListNumber"/>
      </w:pPr>
      <w:r>
        <w:t>Run a small smoke test and record what changed in the relevant documentation or update brief.</w:t>
      </w:r>
    </w:p>
    <w:p>
      <w:pPr>
        <w:pStyle w:val="Heading1"/>
      </w:pPr>
      <w:r>
        <w:t>7. Near-term skill roadmap</w:t>
      </w:r>
    </w:p>
    <w:p>
      <w:pPr>
        <w:pStyle w:val="ListBullet"/>
      </w:pPr>
      <w:r>
        <w:t>Add stronger tests for validation, output analysis, solver log analysis, refiner rules, scenario patching, and iteration memory.</w:t>
      </w:r>
    </w:p>
    <w:p>
      <w:pPr>
        <w:pStyle w:val="ListBullet"/>
      </w:pPr>
      <w:r>
        <w:t>Expand solver-log support beyond current HiGHS/Gurobi-style patterns and captured stdout/stderr fallback.</w:t>
      </w:r>
    </w:p>
    <w:p>
      <w:pPr>
        <w:pStyle w:val="ListBullet"/>
      </w:pPr>
      <w:r>
        <w:t>Define approval workflows for structural scenario edits, generator additions, demand changes, and policy relaxations.</w:t>
      </w:r>
    </w:p>
    <w:p>
      <w:pPr>
        <w:pStyle w:val="ListBullet"/>
      </w:pPr>
      <w:r>
        <w:t>Add richer benchmark scenarios so the skills are validated beyond the current capacity expansion smoke case.</w:t>
      </w:r>
    </w:p>
    <w:p>
      <w:pPr>
        <w:pStyle w:val="ListBullet"/>
      </w:pPr>
      <w:r>
        <w:t>Improve provenance so every recommendation can be linked to the source diagnostic, model artifact, and prior iteration history.</w:t>
      </w:r>
    </w:p>
    <w:p>
      <w:pPr>
        <w:pStyle w:val="Heading1"/>
      </w:pPr>
      <w:r>
        <w:t>Sources</w:t>
      </w:r>
    </w:p>
    <w:p>
      <w:pPr>
        <w:pStyle w:val="ListBullet"/>
      </w:pPr>
      <w:r>
        <w:t>README.md</w:t>
      </w:r>
    </w:p>
    <w:p>
      <w:pPr>
        <w:pStyle w:val="ListBullet"/>
      </w:pPr>
      <w:r>
        <w:t>skill_library/README.md</w:t>
      </w:r>
    </w:p>
    <w:p>
      <w:pPr>
        <w:pStyle w:val="ListBullet"/>
      </w:pPr>
      <w:r>
        <w:t>skill_library/*/SKILL.md</w:t>
      </w:r>
    </w:p>
    <w:p>
      <w:pPr>
        <w:pStyle w:val="ListBullet"/>
      </w:pPr>
      <w:r>
        <w:t>doc/Agent Workflow Guide.md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