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color w:val="000000"/>
          <w:sz w:val="52"/>
        </w:rPr>
        <w:t>AI-ESM App Documentation</w:t>
      </w:r>
    </w:p>
    <w:p>
      <w:pPr>
        <w:spacing w:after="280"/>
      </w:pPr>
      <w:r>
        <w:rPr>
          <w:rFonts w:ascii="Arial" w:hAnsi="Arial" w:eastAsia="Arial"/>
          <w:color w:val="555555"/>
          <w:sz w:val="22"/>
        </w:rPr>
        <w:t>Architecture, code structure, module responsibilities, and command-line usage demo for the current orchestration layer.</w:t>
      </w:r>
    </w:p>
    <w:p>
      <w:pPr/>
      <w:r>
        <w:t>This document explains the current AI-ESM app layer. The app is an MVP orchestration layer around an existing capacity expansion runner. It validates scenario inputs, launches the model, analyzes solver logs and outputs, triggers refinement recommendations, optionally applies safe solver-setting patches, and records iteration memory.</w:t>
      </w:r>
    </w:p>
    <w:p>
      <w:pPr>
        <w:pStyle w:val="Heading1"/>
      </w:pPr>
      <w:r>
        <w:t>1. Architecture overview</w:t>
      </w:r>
    </w:p>
    <w:p>
      <w:pPr/>
      <w:r>
        <w:t>The app is organized as a deterministic pipeline. Research intent is converted into a scenario configuration, the solver is launched, diagnostics are collected, and the controller decides whether to stop, recommend a fix, or rerun with a safe patch.</w:t>
      </w:r>
    </w:p>
    <w:p>
      <w:pPr>
        <w:jc w:val="center"/>
      </w:pPr>
      <w:r>
        <w:drawing>
          <wp:inline xmlns:a="http://schemas.openxmlformats.org/drawingml/2006/main" xmlns:pic="http://schemas.openxmlformats.org/drawingml/2006/picture">
            <wp:extent cx="5669280" cy="8503920"/>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669280" cy="8503920"/>
                    </a:xfrm>
                    <a:prstGeom prst="rect"/>
                  </pic:spPr>
                </pic:pic>
              </a:graphicData>
            </a:graphic>
          </wp:inline>
        </w:drawing>
      </w:r>
    </w:p>
    <w:p>
      <w:pPr>
        <w:jc w:val="center"/>
      </w:pPr>
      <w:r>
        <w:rPr>
          <w:rFonts w:ascii="Arial" w:hAnsi="Arial" w:eastAsia="Arial"/>
          <w:color w:val="555555"/>
          <w:sz w:val="18"/>
        </w:rPr>
        <w:t>Figure 1. AI-ESM pipeline architecture from Pipeline.png.</w:t>
      </w:r>
    </w:p>
    <w:p>
      <w:pPr>
        <w:pStyle w:val="Heading1"/>
      </w:pPr>
      <w:r>
        <w:t>2. Current workflow</w:t>
      </w:r>
    </w:p>
    <w:p>
      <w:pPr>
        <w:pStyle w:val="ListNumber"/>
      </w:pPr>
      <w:r>
        <w:t>VALIDATE_SCENARIO: check scenario identifiers, input data files, demand horizon, candidate generators, solver settings, and expected output paths.</w:t>
      </w:r>
    </w:p>
    <w:p>
      <w:pPr>
        <w:pStyle w:val="ListNumber"/>
      </w:pPr>
      <w:r>
        <w:t>LAUNCH_SOLVER: run the configured capacity expansion backend as a subprocess and capture stdout, stderr, return code, elapsed time, and solve summary.</w:t>
      </w:r>
    </w:p>
    <w:p>
      <w:pPr>
        <w:pStyle w:val="ListNumber"/>
      </w:pPr>
      <w:r>
        <w:t>ANALYZE_SOLVER_LOG: classify solver-side status using the configured log file when available, with fallback to captured stdout/stderr and solve summary.</w:t>
      </w:r>
    </w:p>
    <w:p>
      <w:pPr>
        <w:pStyle w:val="ListNumber"/>
      </w:pPr>
      <w:r>
        <w:t>ANALYZE_OUTPUTS: check physical and economic plausibility after a completed solve.</w:t>
      </w:r>
    </w:p>
    <w:p>
      <w:pPr>
        <w:pStyle w:val="ListNumber"/>
      </w:pPr>
      <w:r>
        <w:t>TRIGGER_REFINER: map non-OK diagnostics into recommendation-only next actions or safe solver-setting overrides.</w:t>
      </w:r>
    </w:p>
    <w:p>
      <w:pPr>
        <w:pStyle w:val="ListNumber"/>
      </w:pPr>
      <w:r>
        <w:t>SAFE_PATCH_AND_RERUN: when allowed by budget and policy, create a patched iteration config and rerun.</w:t>
      </w:r>
    </w:p>
    <w:p>
      <w:pPr>
        <w:pStyle w:val="ListNumber"/>
      </w:pPr>
      <w:r>
        <w:t>ITERATION_MEMORY_APPEND: append a compact record to runs/run_history.jsonl and embed memory summary in run_state.json.</w:t>
      </w:r>
    </w:p>
    <w:p>
      <w:pPr>
        <w:pStyle w:val="Heading1"/>
      </w:pPr>
      <w:r>
        <w:t>3. Code structure</w:t>
      </w:r>
    </w:p>
    <w:tbl>
      <w:tblPr>
        <w:tblStyle w:val="TableGrid"/>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00"/>
        <w:gridCol w:w="2300"/>
        <w:gridCol w:w="4760"/>
      </w:tblGrid>
      <w:tr>
        <w:tc>
          <w:tcPr>
            <w:tcW w:type="dxa" w:w="2300"/>
            <w:shd w:fill="F8F9FA"/>
            <w:tcMar>
              <w:top w:w="80" w:type="dxa"/>
              <w:start w:w="120" w:type="dxa"/>
              <w:bottom w:w="80" w:type="dxa"/>
              <w:end w:w="120" w:type="dxa"/>
            </w:tcMar>
            <w:vAlign w:val="center"/>
          </w:tcPr>
          <w:p>
            <w:r>
              <w:rPr>
                <w:rFonts w:ascii="Arial" w:hAnsi="Arial" w:eastAsia="Arial"/>
                <w:b/>
                <w:sz w:val="20"/>
              </w:rPr>
              <w:t>File</w:t>
            </w:r>
          </w:p>
        </w:tc>
        <w:tc>
          <w:tcPr>
            <w:tcW w:type="dxa" w:w="2300"/>
            <w:shd w:fill="F8F9FA"/>
            <w:tcMar>
              <w:top w:w="80" w:type="dxa"/>
              <w:start w:w="120" w:type="dxa"/>
              <w:bottom w:w="80" w:type="dxa"/>
              <w:end w:w="120" w:type="dxa"/>
            </w:tcMar>
            <w:vAlign w:val="center"/>
          </w:tcPr>
          <w:p>
            <w:r>
              <w:rPr>
                <w:rFonts w:ascii="Arial" w:hAnsi="Arial" w:eastAsia="Arial"/>
                <w:b/>
                <w:sz w:val="20"/>
              </w:rPr>
              <w:t>Purpose</w:t>
            </w:r>
          </w:p>
        </w:tc>
        <w:tc>
          <w:tcPr>
            <w:tcW w:type="dxa" w:w="4760"/>
            <w:shd w:fill="F8F9FA"/>
            <w:tcMar>
              <w:top w:w="80" w:type="dxa"/>
              <w:start w:w="120" w:type="dxa"/>
              <w:bottom w:w="80" w:type="dxa"/>
              <w:end w:w="120" w:type="dxa"/>
            </w:tcMar>
            <w:vAlign w:val="center"/>
          </w:tcPr>
          <w:p>
            <w:r>
              <w:rPr>
                <w:rFonts w:ascii="Arial" w:hAnsi="Arial" w:eastAsia="Arial"/>
                <w:b/>
                <w:sz w:val="20"/>
              </w:rPr>
              <w:t>Main functions/responsibilities</w:t>
            </w:r>
          </w:p>
        </w:tc>
      </w:tr>
      <w:tr>
        <w:tc>
          <w:tcPr>
            <w:tcW w:type="dxa" w:w="2300"/>
            <w:tcMar>
              <w:top w:w="80" w:type="dxa"/>
              <w:start w:w="120" w:type="dxa"/>
              <w:bottom w:w="80" w:type="dxa"/>
              <w:end w:w="120" w:type="dxa"/>
            </w:tcMar>
            <w:vAlign w:val="center"/>
          </w:tcPr>
          <w:p>
            <w:pPr>
              <w:spacing w:after="0"/>
            </w:pPr>
            <w:r>
              <w:rPr>
                <w:rFonts w:ascii="Arial" w:hAnsi="Arial" w:eastAsia="Arial"/>
                <w:sz w:val="19"/>
              </w:rPr>
              <w:t>agent/orchestrator.py</w:t>
            </w:r>
          </w:p>
        </w:tc>
        <w:tc>
          <w:tcPr>
            <w:tcW w:type="dxa" w:w="2300"/>
            <w:tcMar>
              <w:top w:w="80" w:type="dxa"/>
              <w:start w:w="120" w:type="dxa"/>
              <w:bottom w:w="80" w:type="dxa"/>
              <w:end w:w="120" w:type="dxa"/>
            </w:tcMar>
            <w:vAlign w:val="center"/>
          </w:tcPr>
          <w:p>
            <w:pPr>
              <w:spacing w:after="0"/>
            </w:pPr>
            <w:r>
              <w:rPr>
                <w:rFonts w:ascii="Arial" w:hAnsi="Arial" w:eastAsia="Arial"/>
                <w:sz w:val="19"/>
              </w:rPr>
              <w:t>CLI entrypoint and controller loop.</w:t>
            </w:r>
          </w:p>
        </w:tc>
        <w:tc>
          <w:tcPr>
            <w:tcW w:type="dxa" w:w="4760"/>
            <w:tcMar>
              <w:top w:w="80" w:type="dxa"/>
              <w:start w:w="120" w:type="dxa"/>
              <w:bottom w:w="80" w:type="dxa"/>
              <w:end w:w="120" w:type="dxa"/>
            </w:tcMar>
            <w:vAlign w:val="center"/>
          </w:tcPr>
          <w:p>
            <w:pPr>
              <w:spacing w:after="0"/>
            </w:pPr>
            <w:r>
              <w:rPr>
                <w:rFonts w:ascii="Arial" w:hAnsi="Arial" w:eastAsia="Arial"/>
                <w:sz w:val="19"/>
              </w:rPr>
              <w:t>Defines run state, controller decisions, validation/execution/analyzer/refiner sequencing, safe rerun handling, final persistence, and history display.</w:t>
            </w:r>
          </w:p>
        </w:tc>
      </w:tr>
      <w:tr>
        <w:tc>
          <w:tcPr>
            <w:tcW w:type="dxa" w:w="2300"/>
            <w:tcMar>
              <w:top w:w="80" w:type="dxa"/>
              <w:start w:w="120" w:type="dxa"/>
              <w:bottom w:w="80" w:type="dxa"/>
              <w:end w:w="120" w:type="dxa"/>
            </w:tcMar>
            <w:vAlign w:val="center"/>
          </w:tcPr>
          <w:p>
            <w:pPr>
              <w:spacing w:after="0"/>
            </w:pPr>
            <w:r>
              <w:rPr>
                <w:rFonts w:ascii="Arial" w:hAnsi="Arial" w:eastAsia="Arial"/>
                <w:sz w:val="19"/>
              </w:rPr>
              <w:t>agent/validation.py</w:t>
            </w:r>
          </w:p>
        </w:tc>
        <w:tc>
          <w:tcPr>
            <w:tcW w:type="dxa" w:w="2300"/>
            <w:tcMar>
              <w:top w:w="80" w:type="dxa"/>
              <w:start w:w="120" w:type="dxa"/>
              <w:bottom w:w="80" w:type="dxa"/>
              <w:end w:w="120" w:type="dxa"/>
            </w:tcMar>
            <w:vAlign w:val="center"/>
          </w:tcPr>
          <w:p>
            <w:pPr>
              <w:spacing w:after="0"/>
            </w:pPr>
            <w:r>
              <w:rPr>
                <w:rFonts w:ascii="Arial" w:hAnsi="Arial" w:eastAsia="Arial"/>
                <w:sz w:val="19"/>
              </w:rPr>
              <w:t>Pre-solve scenario validator.</w:t>
            </w:r>
          </w:p>
        </w:tc>
        <w:tc>
          <w:tcPr>
            <w:tcW w:type="dxa" w:w="4760"/>
            <w:tcMar>
              <w:top w:w="80" w:type="dxa"/>
              <w:start w:w="120" w:type="dxa"/>
              <w:bottom w:w="80" w:type="dxa"/>
              <w:end w:w="120" w:type="dxa"/>
            </w:tcMar>
            <w:vAlign w:val="center"/>
          </w:tcPr>
          <w:p>
            <w:pPr>
              <w:spacing w:after="0"/>
            </w:pPr>
            <w:r>
              <w:rPr>
                <w:rFonts w:ascii="Arial" w:hAnsi="Arial" w:eastAsia="Arial"/>
                <w:sz w:val="19"/>
              </w:rPr>
              <w:t>Checks required scenario identifiers, input files, CSV columns, expected hour counts, candidate generator filters, solver settings, and expected outputs.</w:t>
            </w:r>
          </w:p>
        </w:tc>
      </w:tr>
      <w:tr>
        <w:tc>
          <w:tcPr>
            <w:tcW w:type="dxa" w:w="2300"/>
            <w:tcMar>
              <w:top w:w="80" w:type="dxa"/>
              <w:start w:w="120" w:type="dxa"/>
              <w:bottom w:w="80" w:type="dxa"/>
              <w:end w:w="120" w:type="dxa"/>
            </w:tcMar>
            <w:vAlign w:val="center"/>
          </w:tcPr>
          <w:p>
            <w:pPr>
              <w:spacing w:after="0"/>
            </w:pPr>
            <w:r>
              <w:rPr>
                <w:rFonts w:ascii="Arial" w:hAnsi="Arial" w:eastAsia="Arial"/>
                <w:sz w:val="19"/>
              </w:rPr>
              <w:t>agent/solver_log_analysis.py</w:t>
            </w:r>
          </w:p>
        </w:tc>
        <w:tc>
          <w:tcPr>
            <w:tcW w:type="dxa" w:w="2300"/>
            <w:tcMar>
              <w:top w:w="80" w:type="dxa"/>
              <w:start w:w="120" w:type="dxa"/>
              <w:bottom w:w="80" w:type="dxa"/>
              <w:end w:w="120" w:type="dxa"/>
            </w:tcMar>
            <w:vAlign w:val="center"/>
          </w:tcPr>
          <w:p>
            <w:pPr>
              <w:spacing w:after="0"/>
            </w:pPr>
            <w:r>
              <w:rPr>
                <w:rFonts w:ascii="Arial" w:hAnsi="Arial" w:eastAsia="Arial"/>
                <w:sz w:val="19"/>
              </w:rPr>
              <w:t>Solver log parser and classifier.</w:t>
            </w:r>
          </w:p>
        </w:tc>
        <w:tc>
          <w:tcPr>
            <w:tcW w:type="dxa" w:w="4760"/>
            <w:tcMar>
              <w:top w:w="80" w:type="dxa"/>
              <w:start w:w="120" w:type="dxa"/>
              <w:bottom w:w="80" w:type="dxa"/>
              <w:end w:w="120" w:type="dxa"/>
            </w:tcMar>
            <w:vAlign w:val="center"/>
          </w:tcPr>
          <w:p>
            <w:pPr>
              <w:spacing w:after="0"/>
            </w:pPr>
            <w:r>
              <w:rPr>
                <w:rFonts w:ascii="Arial" w:hAnsi="Arial" w:eastAsia="Arial"/>
                <w:sz w:val="19"/>
              </w:rPr>
              <w:t>Loads configured logs or stdout/stderr fallback, detects termination status, infeasibility, numerical issues, convergence, and performance metrics.</w:t>
            </w:r>
          </w:p>
        </w:tc>
      </w:tr>
      <w:tr>
        <w:tc>
          <w:tcPr>
            <w:tcW w:type="dxa" w:w="2300"/>
            <w:tcMar>
              <w:top w:w="80" w:type="dxa"/>
              <w:start w:w="120" w:type="dxa"/>
              <w:bottom w:w="80" w:type="dxa"/>
              <w:end w:w="120" w:type="dxa"/>
            </w:tcMar>
            <w:vAlign w:val="center"/>
          </w:tcPr>
          <w:p>
            <w:pPr>
              <w:spacing w:after="0"/>
            </w:pPr>
            <w:r>
              <w:rPr>
                <w:rFonts w:ascii="Arial" w:hAnsi="Arial" w:eastAsia="Arial"/>
                <w:sz w:val="19"/>
              </w:rPr>
              <w:t>agent/output_analysis.py</w:t>
            </w:r>
          </w:p>
        </w:tc>
        <w:tc>
          <w:tcPr>
            <w:tcW w:type="dxa" w:w="2300"/>
            <w:tcMar>
              <w:top w:w="80" w:type="dxa"/>
              <w:start w:w="120" w:type="dxa"/>
              <w:bottom w:w="80" w:type="dxa"/>
              <w:end w:w="120" w:type="dxa"/>
            </w:tcMar>
            <w:vAlign w:val="center"/>
          </w:tcPr>
          <w:p>
            <w:pPr>
              <w:spacing w:after="0"/>
            </w:pPr>
            <w:r>
              <w:rPr>
                <w:rFonts w:ascii="Arial" w:hAnsi="Arial" w:eastAsia="Arial"/>
                <w:sz w:val="19"/>
              </w:rPr>
              <w:t>Post-solve output quality checker.</w:t>
            </w:r>
          </w:p>
        </w:tc>
        <w:tc>
          <w:tcPr>
            <w:tcW w:type="dxa" w:w="4760"/>
            <w:tcMar>
              <w:top w:w="80" w:type="dxa"/>
              <w:start w:w="120" w:type="dxa"/>
              <w:bottom w:w="80" w:type="dxa"/>
              <w:end w:w="120" w:type="dxa"/>
            </w:tcMar>
            <w:vAlign w:val="center"/>
          </w:tcPr>
          <w:p>
            <w:pPr>
              <w:spacing w:after="0"/>
            </w:pPr>
            <w:r>
              <w:rPr>
                <w:rFonts w:ascii="Arial" w:hAnsi="Arial" w:eastAsia="Arial"/>
                <w:sz w:val="19"/>
              </w:rPr>
              <w:t>Checks solve summary consistency, output files, capacity nonnegativity, hourly power balance, capacity limits, and non-served energy severity.</w:t>
            </w:r>
          </w:p>
        </w:tc>
      </w:tr>
      <w:tr>
        <w:tc>
          <w:tcPr>
            <w:tcW w:type="dxa" w:w="2300"/>
            <w:tcMar>
              <w:top w:w="80" w:type="dxa"/>
              <w:start w:w="120" w:type="dxa"/>
              <w:bottom w:w="80" w:type="dxa"/>
              <w:end w:w="120" w:type="dxa"/>
            </w:tcMar>
            <w:vAlign w:val="center"/>
          </w:tcPr>
          <w:p>
            <w:pPr>
              <w:spacing w:after="0"/>
            </w:pPr>
            <w:r>
              <w:rPr>
                <w:rFonts w:ascii="Arial" w:hAnsi="Arial" w:eastAsia="Arial"/>
                <w:sz w:val="19"/>
              </w:rPr>
              <w:t>agent/refiner.py</w:t>
            </w:r>
          </w:p>
        </w:tc>
        <w:tc>
          <w:tcPr>
            <w:tcW w:type="dxa" w:w="2300"/>
            <w:tcMar>
              <w:top w:w="80" w:type="dxa"/>
              <w:start w:w="120" w:type="dxa"/>
              <w:bottom w:w="80" w:type="dxa"/>
              <w:end w:w="120" w:type="dxa"/>
            </w:tcMar>
            <w:vAlign w:val="center"/>
          </w:tcPr>
          <w:p>
            <w:pPr>
              <w:spacing w:after="0"/>
            </w:pPr>
            <w:r>
              <w:rPr>
                <w:rFonts w:ascii="Arial" w:hAnsi="Arial" w:eastAsia="Arial"/>
                <w:sz w:val="19"/>
              </w:rPr>
              <w:t>Diagnostic-to-recommendation mapper.</w:t>
            </w:r>
          </w:p>
        </w:tc>
        <w:tc>
          <w:tcPr>
            <w:tcW w:type="dxa" w:w="4760"/>
            <w:tcMar>
              <w:top w:w="80" w:type="dxa"/>
              <w:start w:w="120" w:type="dxa"/>
              <w:bottom w:w="80" w:type="dxa"/>
              <w:end w:w="120" w:type="dxa"/>
            </w:tcMar>
            <w:vAlign w:val="center"/>
          </w:tcPr>
          <w:p>
            <w:pPr>
              <w:spacing w:after="0"/>
            </w:pPr>
            <w:r>
              <w:rPr>
                <w:rFonts w:ascii="Arial" w:hAnsi="Arial" w:eastAsia="Arial"/>
                <w:sz w:val="19"/>
              </w:rPr>
              <w:t>Chooses primary issue, returns STOP, CONTINUE, or RESTRUCTURE guidance, and proposes safe solver-setting overrides or recommendation-only fixes.</w:t>
            </w:r>
          </w:p>
        </w:tc>
      </w:tr>
      <w:tr>
        <w:tc>
          <w:tcPr>
            <w:tcW w:type="dxa" w:w="2300"/>
            <w:tcMar>
              <w:top w:w="80" w:type="dxa"/>
              <w:start w:w="120" w:type="dxa"/>
              <w:bottom w:w="80" w:type="dxa"/>
              <w:end w:w="120" w:type="dxa"/>
            </w:tcMar>
            <w:vAlign w:val="center"/>
          </w:tcPr>
          <w:p>
            <w:pPr>
              <w:spacing w:after="0"/>
            </w:pPr>
            <w:r>
              <w:rPr>
                <w:rFonts w:ascii="Arial" w:hAnsi="Arial" w:eastAsia="Arial"/>
                <w:sz w:val="19"/>
              </w:rPr>
              <w:t>agent/scenario_patching.py</w:t>
            </w:r>
          </w:p>
        </w:tc>
        <w:tc>
          <w:tcPr>
            <w:tcW w:type="dxa" w:w="2300"/>
            <w:tcMar>
              <w:top w:w="80" w:type="dxa"/>
              <w:start w:w="120" w:type="dxa"/>
              <w:bottom w:w="80" w:type="dxa"/>
              <w:end w:w="120" w:type="dxa"/>
            </w:tcMar>
            <w:vAlign w:val="center"/>
          </w:tcPr>
          <w:p>
            <w:pPr>
              <w:spacing w:after="0"/>
            </w:pPr>
            <w:r>
              <w:rPr>
                <w:rFonts w:ascii="Arial" w:hAnsi="Arial" w:eastAsia="Arial"/>
                <w:sz w:val="19"/>
              </w:rPr>
              <w:t>Safe rerun patcher.</w:t>
            </w:r>
          </w:p>
        </w:tc>
        <w:tc>
          <w:tcPr>
            <w:tcW w:type="dxa" w:w="4760"/>
            <w:tcMar>
              <w:top w:w="80" w:type="dxa"/>
              <w:start w:w="120" w:type="dxa"/>
              <w:bottom w:w="80" w:type="dxa"/>
              <w:end w:w="120" w:type="dxa"/>
            </w:tcMar>
            <w:vAlign w:val="center"/>
          </w:tcPr>
          <w:p>
            <w:pPr>
              <w:spacing w:after="0"/>
            </w:pPr>
            <w:r>
              <w:rPr>
                <w:rFonts w:ascii="Arial" w:hAnsi="Arial" w:eastAsia="Arial"/>
                <w:sz w:val="19"/>
              </w:rPr>
              <w:t>Applies a deliberately narrow solver_settings patch boundary and redirects iteration output paths into run-specific folders.</w:t>
            </w:r>
          </w:p>
        </w:tc>
      </w:tr>
      <w:tr>
        <w:tc>
          <w:tcPr>
            <w:tcW w:type="dxa" w:w="2300"/>
            <w:tcMar>
              <w:top w:w="80" w:type="dxa"/>
              <w:start w:w="120" w:type="dxa"/>
              <w:bottom w:w="80" w:type="dxa"/>
              <w:end w:w="120" w:type="dxa"/>
            </w:tcMar>
            <w:vAlign w:val="center"/>
          </w:tcPr>
          <w:p>
            <w:pPr>
              <w:spacing w:after="0"/>
            </w:pPr>
            <w:r>
              <w:rPr>
                <w:rFonts w:ascii="Arial" w:hAnsi="Arial" w:eastAsia="Arial"/>
                <w:sz w:val="19"/>
              </w:rPr>
              <w:t>agent/iteration_memory.py</w:t>
            </w:r>
          </w:p>
        </w:tc>
        <w:tc>
          <w:tcPr>
            <w:tcW w:type="dxa" w:w="2300"/>
            <w:tcMar>
              <w:top w:w="80" w:type="dxa"/>
              <w:start w:w="120" w:type="dxa"/>
              <w:bottom w:w="80" w:type="dxa"/>
              <w:end w:w="120" w:type="dxa"/>
            </w:tcMar>
            <w:vAlign w:val="center"/>
          </w:tcPr>
          <w:p>
            <w:pPr>
              <w:spacing w:after="0"/>
            </w:pPr>
            <w:r>
              <w:rPr>
                <w:rFonts w:ascii="Arial" w:hAnsi="Arial" w:eastAsia="Arial"/>
                <w:sz w:val="19"/>
              </w:rPr>
              <w:t>Append-only run memory.</w:t>
            </w:r>
          </w:p>
        </w:tc>
        <w:tc>
          <w:tcPr>
            <w:tcW w:type="dxa" w:w="4760"/>
            <w:tcMar>
              <w:top w:w="80" w:type="dxa"/>
              <w:start w:w="120" w:type="dxa"/>
              <w:bottom w:w="80" w:type="dxa"/>
              <w:end w:w="120" w:type="dxa"/>
            </w:tcMar>
            <w:vAlign w:val="center"/>
          </w:tcPr>
          <w:p>
            <w:pPr>
              <w:spacing w:after="0"/>
            </w:pPr>
            <w:r>
              <w:rPr>
                <w:rFonts w:ascii="Arial" w:hAnsi="Arial" w:eastAsia="Arial"/>
                <w:sz w:val="19"/>
              </w:rPr>
              <w:t>Builds compact history records, writes run_history.jsonl, summarizes best run, convergence, repeated causes, failure patterns, and plateau detection.</w:t>
            </w:r>
          </w:p>
        </w:tc>
      </w:tr>
      <w:tr>
        <w:tc>
          <w:tcPr>
            <w:tcW w:type="dxa" w:w="2300"/>
            <w:tcMar>
              <w:top w:w="80" w:type="dxa"/>
              <w:start w:w="120" w:type="dxa"/>
              <w:bottom w:w="80" w:type="dxa"/>
              <w:end w:w="120" w:type="dxa"/>
            </w:tcMar>
            <w:vAlign w:val="center"/>
          </w:tcPr>
          <w:p>
            <w:pPr>
              <w:spacing w:after="0"/>
            </w:pPr>
            <w:r>
              <w:rPr>
                <w:rFonts w:ascii="Arial" w:hAnsi="Arial" w:eastAsia="Arial"/>
                <w:sz w:val="19"/>
              </w:rPr>
              <w:t>agent/__init__.py</w:t>
            </w:r>
          </w:p>
        </w:tc>
        <w:tc>
          <w:tcPr>
            <w:tcW w:type="dxa" w:w="2300"/>
            <w:tcMar>
              <w:top w:w="80" w:type="dxa"/>
              <w:start w:w="120" w:type="dxa"/>
              <w:bottom w:w="80" w:type="dxa"/>
              <w:end w:w="120" w:type="dxa"/>
            </w:tcMar>
            <w:vAlign w:val="center"/>
          </w:tcPr>
          <w:p>
            <w:pPr>
              <w:spacing w:after="0"/>
            </w:pPr>
            <w:r>
              <w:rPr>
                <w:rFonts w:ascii="Arial" w:hAnsi="Arial" w:eastAsia="Arial"/>
                <w:sz w:val="19"/>
              </w:rPr>
              <w:t>Package marker.</w:t>
            </w:r>
          </w:p>
        </w:tc>
        <w:tc>
          <w:tcPr>
            <w:tcW w:type="dxa" w:w="4760"/>
            <w:tcMar>
              <w:top w:w="80" w:type="dxa"/>
              <w:start w:w="120" w:type="dxa"/>
              <w:bottom w:w="80" w:type="dxa"/>
              <w:end w:w="120" w:type="dxa"/>
            </w:tcMar>
            <w:vAlign w:val="center"/>
          </w:tcPr>
          <w:p>
            <w:pPr>
              <w:spacing w:after="0"/>
            </w:pPr>
            <w:r>
              <w:rPr>
                <w:rFonts w:ascii="Arial" w:hAnsi="Arial" w:eastAsia="Arial"/>
                <w:sz w:val="19"/>
              </w:rPr>
              <w:t>Makes the orchestration layer importable as the agent package.</w:t>
            </w:r>
          </w:p>
        </w:tc>
      </w:tr>
    </w:tbl>
    <w:p/>
    <w:p>
      <w:pPr>
        <w:pStyle w:val="Heading1"/>
      </w:pPr>
      <w:r>
        <w:t>4. Run-state contract</w:t>
      </w:r>
    </w:p>
    <w:p>
      <w:pPr/>
      <w:r>
        <w:t>Each run writes runs/&lt;run_id&gt;/run_state.json. This file is the main audit artifact for the workflow.</w:t>
      </w:r>
    </w:p>
    <w:tbl>
      <w:tblPr>
        <w:tblStyle w:val="TableGrid"/>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500"/>
        <w:gridCol w:w="6860"/>
      </w:tblGrid>
      <w:tr>
        <w:tc>
          <w:tcPr>
            <w:tcW w:type="dxa" w:w="2500"/>
            <w:shd w:fill="F8F9FA"/>
            <w:tcMar>
              <w:top w:w="80" w:type="dxa"/>
              <w:start w:w="120" w:type="dxa"/>
              <w:bottom w:w="80" w:type="dxa"/>
              <w:end w:w="120" w:type="dxa"/>
            </w:tcMar>
            <w:vAlign w:val="center"/>
          </w:tcPr>
          <w:p>
            <w:r>
              <w:rPr>
                <w:rFonts w:ascii="Arial" w:hAnsi="Arial" w:eastAsia="Arial"/>
                <w:b/>
                <w:sz w:val="20"/>
              </w:rPr>
              <w:t>Run-state field</w:t>
            </w:r>
          </w:p>
        </w:tc>
        <w:tc>
          <w:tcPr>
            <w:tcW w:type="dxa" w:w="6860"/>
            <w:shd w:fill="F8F9FA"/>
            <w:tcMar>
              <w:top w:w="80" w:type="dxa"/>
              <w:start w:w="120" w:type="dxa"/>
              <w:bottom w:w="80" w:type="dxa"/>
              <w:end w:w="120" w:type="dxa"/>
            </w:tcMar>
            <w:vAlign w:val="center"/>
          </w:tcPr>
          <w:p>
            <w:r>
              <w:rPr>
                <w:rFonts w:ascii="Arial" w:hAnsi="Arial" w:eastAsia="Arial"/>
                <w:b/>
                <w:sz w:val="20"/>
              </w:rPr>
              <w:t>Description</w:t>
            </w:r>
          </w:p>
        </w:tc>
      </w:tr>
      <w:tr>
        <w:tc>
          <w:tcPr>
            <w:tcW w:type="dxa" w:w="2500"/>
            <w:tcMar>
              <w:top w:w="80" w:type="dxa"/>
              <w:start w:w="120" w:type="dxa"/>
              <w:bottom w:w="80" w:type="dxa"/>
              <w:end w:w="120" w:type="dxa"/>
            </w:tcMar>
            <w:vAlign w:val="center"/>
          </w:tcPr>
          <w:p>
            <w:pPr>
              <w:spacing w:after="0"/>
            </w:pPr>
            <w:r>
              <w:rPr>
                <w:rFonts w:ascii="Arial" w:hAnsi="Arial" w:eastAsia="Arial"/>
                <w:sz w:val="19"/>
              </w:rPr>
              <w:t>controller_decisions</w:t>
            </w:r>
          </w:p>
        </w:tc>
        <w:tc>
          <w:tcPr>
            <w:tcW w:type="dxa" w:w="6860"/>
            <w:tcMar>
              <w:top w:w="80" w:type="dxa"/>
              <w:start w:w="120" w:type="dxa"/>
              <w:bottom w:w="80" w:type="dxa"/>
              <w:end w:w="120" w:type="dxa"/>
            </w:tcMar>
            <w:vAlign w:val="center"/>
          </w:tcPr>
          <w:p>
            <w:pPr>
              <w:spacing w:after="0"/>
            </w:pPr>
            <w:r>
              <w:rPr>
                <w:rFonts w:ascii="Arial" w:hAnsi="Arial" w:eastAsia="Arial"/>
                <w:sz w:val="19"/>
              </w:rPr>
              <w:t>Ordered controller actions and routing decisions.</w:t>
            </w:r>
          </w:p>
        </w:tc>
      </w:tr>
      <w:tr>
        <w:tc>
          <w:tcPr>
            <w:tcW w:type="dxa" w:w="2500"/>
            <w:tcMar>
              <w:top w:w="80" w:type="dxa"/>
              <w:start w:w="120" w:type="dxa"/>
              <w:bottom w:w="80" w:type="dxa"/>
              <w:end w:w="120" w:type="dxa"/>
            </w:tcMar>
            <w:vAlign w:val="center"/>
          </w:tcPr>
          <w:p>
            <w:pPr>
              <w:spacing w:after="0"/>
            </w:pPr>
            <w:r>
              <w:rPr>
                <w:rFonts w:ascii="Arial" w:hAnsi="Arial" w:eastAsia="Arial"/>
                <w:sz w:val="19"/>
              </w:rPr>
              <w:t>validation_results</w:t>
            </w:r>
          </w:p>
        </w:tc>
        <w:tc>
          <w:tcPr>
            <w:tcW w:type="dxa" w:w="6860"/>
            <w:tcMar>
              <w:top w:w="80" w:type="dxa"/>
              <w:start w:w="120" w:type="dxa"/>
              <w:bottom w:w="80" w:type="dxa"/>
              <w:end w:w="120" w:type="dxa"/>
            </w:tcMar>
            <w:vAlign w:val="center"/>
          </w:tcPr>
          <w:p>
            <w:pPr>
              <w:spacing w:after="0"/>
            </w:pPr>
            <w:r>
              <w:rPr>
                <w:rFonts w:ascii="Arial" w:hAnsi="Arial" w:eastAsia="Arial"/>
                <w:sz w:val="19"/>
              </w:rPr>
              <w:t>Scenario validation status, checks, resolved input files, and matched candidate generators.</w:t>
            </w:r>
          </w:p>
        </w:tc>
      </w:tr>
      <w:tr>
        <w:tc>
          <w:tcPr>
            <w:tcW w:type="dxa" w:w="2500"/>
            <w:tcMar>
              <w:top w:w="80" w:type="dxa"/>
              <w:start w:w="120" w:type="dxa"/>
              <w:bottom w:w="80" w:type="dxa"/>
              <w:end w:w="120" w:type="dxa"/>
            </w:tcMar>
            <w:vAlign w:val="center"/>
          </w:tcPr>
          <w:p>
            <w:pPr>
              <w:spacing w:after="0"/>
            </w:pPr>
            <w:r>
              <w:rPr>
                <w:rFonts w:ascii="Arial" w:hAnsi="Arial" w:eastAsia="Arial"/>
                <w:sz w:val="19"/>
              </w:rPr>
              <w:t>executor_results</w:t>
            </w:r>
          </w:p>
        </w:tc>
        <w:tc>
          <w:tcPr>
            <w:tcW w:type="dxa" w:w="6860"/>
            <w:tcMar>
              <w:top w:w="80" w:type="dxa"/>
              <w:start w:w="120" w:type="dxa"/>
              <w:bottom w:w="80" w:type="dxa"/>
              <w:end w:w="120" w:type="dxa"/>
            </w:tcMar>
            <w:vAlign w:val="center"/>
          </w:tcPr>
          <w:p>
            <w:pPr>
              <w:spacing w:after="0"/>
            </w:pPr>
            <w:r>
              <w:rPr>
                <w:rFonts w:ascii="Arial" w:hAnsi="Arial" w:eastAsia="Arial"/>
                <w:sz w:val="19"/>
              </w:rPr>
              <w:t>Subprocess command, stdout/stderr logs, return code, elapsed time, and solve summary.</w:t>
            </w:r>
          </w:p>
        </w:tc>
      </w:tr>
      <w:tr>
        <w:tc>
          <w:tcPr>
            <w:tcW w:type="dxa" w:w="2500"/>
            <w:tcMar>
              <w:top w:w="80" w:type="dxa"/>
              <w:start w:w="120" w:type="dxa"/>
              <w:bottom w:w="80" w:type="dxa"/>
              <w:end w:w="120" w:type="dxa"/>
            </w:tcMar>
            <w:vAlign w:val="center"/>
          </w:tcPr>
          <w:p>
            <w:pPr>
              <w:spacing w:after="0"/>
            </w:pPr>
            <w:r>
              <w:rPr>
                <w:rFonts w:ascii="Arial" w:hAnsi="Arial" w:eastAsia="Arial"/>
                <w:sz w:val="19"/>
              </w:rPr>
              <w:t>solver_log_analysis_results</w:t>
            </w:r>
          </w:p>
        </w:tc>
        <w:tc>
          <w:tcPr>
            <w:tcW w:type="dxa" w:w="6860"/>
            <w:tcMar>
              <w:top w:w="80" w:type="dxa"/>
              <w:start w:w="120" w:type="dxa"/>
              <w:bottom w:w="80" w:type="dxa"/>
              <w:end w:w="120" w:type="dxa"/>
            </w:tcMar>
            <w:vAlign w:val="center"/>
          </w:tcPr>
          <w:p>
            <w:pPr>
              <w:spacing w:after="0"/>
            </w:pPr>
            <w:r>
              <w:rPr>
                <w:rFonts w:ascii="Arial" w:hAnsi="Arial" w:eastAsia="Arial"/>
                <w:sz w:val="19"/>
              </w:rPr>
              <w:t>Solver status, infeasibility or numerical diagnostics, and parsed performance metrics.</w:t>
            </w:r>
          </w:p>
        </w:tc>
      </w:tr>
      <w:tr>
        <w:tc>
          <w:tcPr>
            <w:tcW w:type="dxa" w:w="2500"/>
            <w:tcMar>
              <w:top w:w="80" w:type="dxa"/>
              <w:start w:w="120" w:type="dxa"/>
              <w:bottom w:w="80" w:type="dxa"/>
              <w:end w:w="120" w:type="dxa"/>
            </w:tcMar>
            <w:vAlign w:val="center"/>
          </w:tcPr>
          <w:p>
            <w:pPr>
              <w:spacing w:after="0"/>
            </w:pPr>
            <w:r>
              <w:rPr>
                <w:rFonts w:ascii="Arial" w:hAnsi="Arial" w:eastAsia="Arial"/>
                <w:sz w:val="19"/>
              </w:rPr>
              <w:t>output_analysis_results</w:t>
            </w:r>
          </w:p>
        </w:tc>
        <w:tc>
          <w:tcPr>
            <w:tcW w:type="dxa" w:w="6860"/>
            <w:tcMar>
              <w:top w:w="80" w:type="dxa"/>
              <w:start w:w="120" w:type="dxa"/>
              <w:bottom w:w="80" w:type="dxa"/>
              <w:end w:w="120" w:type="dxa"/>
            </w:tcMar>
            <w:vAlign w:val="center"/>
          </w:tcPr>
          <w:p>
            <w:pPr>
              <w:spacing w:after="0"/>
            </w:pPr>
            <w:r>
              <w:rPr>
                <w:rFonts w:ascii="Arial" w:hAnsi="Arial" w:eastAsia="Arial"/>
                <w:sz w:val="19"/>
              </w:rPr>
              <w:t>Physical and economic output checks, anomalies, warnings, and computed metrics.</w:t>
            </w:r>
          </w:p>
        </w:tc>
      </w:tr>
      <w:tr>
        <w:tc>
          <w:tcPr>
            <w:tcW w:type="dxa" w:w="2500"/>
            <w:tcMar>
              <w:top w:w="80" w:type="dxa"/>
              <w:start w:w="120" w:type="dxa"/>
              <w:bottom w:w="80" w:type="dxa"/>
              <w:end w:w="120" w:type="dxa"/>
            </w:tcMar>
            <w:vAlign w:val="center"/>
          </w:tcPr>
          <w:p>
            <w:pPr>
              <w:spacing w:after="0"/>
            </w:pPr>
            <w:r>
              <w:rPr>
                <w:rFonts w:ascii="Arial" w:hAnsi="Arial" w:eastAsia="Arial"/>
                <w:sz w:val="19"/>
              </w:rPr>
              <w:t>refinement_results</w:t>
            </w:r>
          </w:p>
        </w:tc>
        <w:tc>
          <w:tcPr>
            <w:tcW w:type="dxa" w:w="6860"/>
            <w:tcMar>
              <w:top w:w="80" w:type="dxa"/>
              <w:start w:w="120" w:type="dxa"/>
              <w:bottom w:w="80" w:type="dxa"/>
              <w:end w:w="120" w:type="dxa"/>
            </w:tcMar>
            <w:vAlign w:val="center"/>
          </w:tcPr>
          <w:p>
            <w:pPr>
              <w:spacing w:after="0"/>
            </w:pPr>
            <w:r>
              <w:rPr>
                <w:rFonts w:ascii="Arial" w:hAnsi="Arial" w:eastAsia="Arial"/>
                <w:sz w:val="19"/>
              </w:rPr>
              <w:t>Recommendation-only fixes or review actions triggered by diagnostics.</w:t>
            </w:r>
          </w:p>
        </w:tc>
      </w:tr>
      <w:tr>
        <w:tc>
          <w:tcPr>
            <w:tcW w:type="dxa" w:w="2500"/>
            <w:tcMar>
              <w:top w:w="80" w:type="dxa"/>
              <w:start w:w="120" w:type="dxa"/>
              <w:bottom w:w="80" w:type="dxa"/>
              <w:end w:w="120" w:type="dxa"/>
            </w:tcMar>
            <w:vAlign w:val="center"/>
          </w:tcPr>
          <w:p>
            <w:pPr>
              <w:spacing w:after="0"/>
            </w:pPr>
            <w:r>
              <w:rPr>
                <w:rFonts w:ascii="Arial" w:hAnsi="Arial" w:eastAsia="Arial"/>
                <w:sz w:val="19"/>
              </w:rPr>
              <w:t>patch_results</w:t>
            </w:r>
          </w:p>
        </w:tc>
        <w:tc>
          <w:tcPr>
            <w:tcW w:type="dxa" w:w="6860"/>
            <w:tcMar>
              <w:top w:w="80" w:type="dxa"/>
              <w:start w:w="120" w:type="dxa"/>
              <w:bottom w:w="80" w:type="dxa"/>
              <w:end w:w="120" w:type="dxa"/>
            </w:tcMar>
            <w:vAlign w:val="center"/>
          </w:tcPr>
          <w:p>
            <w:pPr>
              <w:spacing w:after="0"/>
            </w:pPr>
            <w:r>
              <w:rPr>
                <w:rFonts w:ascii="Arial" w:hAnsi="Arial" w:eastAsia="Arial"/>
                <w:sz w:val="19"/>
              </w:rPr>
              <w:t>Safe config patch attempts, applied/skipped overrides, and generated config path.</w:t>
            </w:r>
          </w:p>
        </w:tc>
      </w:tr>
      <w:tr>
        <w:tc>
          <w:tcPr>
            <w:tcW w:type="dxa" w:w="2500"/>
            <w:tcMar>
              <w:top w:w="80" w:type="dxa"/>
              <w:start w:w="120" w:type="dxa"/>
              <w:bottom w:w="80" w:type="dxa"/>
              <w:end w:w="120" w:type="dxa"/>
            </w:tcMar>
            <w:vAlign w:val="center"/>
          </w:tcPr>
          <w:p>
            <w:pPr>
              <w:spacing w:after="0"/>
            </w:pPr>
            <w:r>
              <w:rPr>
                <w:rFonts w:ascii="Arial" w:hAnsi="Arial" w:eastAsia="Arial"/>
                <w:sz w:val="19"/>
              </w:rPr>
              <w:t>iteration_config_paths</w:t>
            </w:r>
          </w:p>
        </w:tc>
        <w:tc>
          <w:tcPr>
            <w:tcW w:type="dxa" w:w="6860"/>
            <w:tcMar>
              <w:top w:w="80" w:type="dxa"/>
              <w:start w:w="120" w:type="dxa"/>
              <w:bottom w:w="80" w:type="dxa"/>
              <w:end w:w="120" w:type="dxa"/>
            </w:tcMar>
            <w:vAlign w:val="center"/>
          </w:tcPr>
          <w:p>
            <w:pPr>
              <w:spacing w:after="0"/>
            </w:pPr>
            <w:r>
              <w:rPr>
                <w:rFonts w:ascii="Arial" w:hAnsi="Arial" w:eastAsia="Arial"/>
                <w:sz w:val="19"/>
              </w:rPr>
              <w:t>Scenario config path used for each iteration.</w:t>
            </w:r>
          </w:p>
        </w:tc>
      </w:tr>
      <w:tr>
        <w:tc>
          <w:tcPr>
            <w:tcW w:type="dxa" w:w="2500"/>
            <w:tcMar>
              <w:top w:w="80" w:type="dxa"/>
              <w:start w:w="120" w:type="dxa"/>
              <w:bottom w:w="80" w:type="dxa"/>
              <w:end w:w="120" w:type="dxa"/>
            </w:tcMar>
            <w:vAlign w:val="center"/>
          </w:tcPr>
          <w:p>
            <w:pPr>
              <w:spacing w:after="0"/>
            </w:pPr>
            <w:r>
              <w:rPr>
                <w:rFonts w:ascii="Arial" w:hAnsi="Arial" w:eastAsia="Arial"/>
                <w:sz w:val="19"/>
              </w:rPr>
              <w:t>memory_record and memory_summary</w:t>
            </w:r>
          </w:p>
        </w:tc>
        <w:tc>
          <w:tcPr>
            <w:tcW w:type="dxa" w:w="6860"/>
            <w:tcMar>
              <w:top w:w="80" w:type="dxa"/>
              <w:start w:w="120" w:type="dxa"/>
              <w:bottom w:w="80" w:type="dxa"/>
              <w:end w:w="120" w:type="dxa"/>
            </w:tcMar>
            <w:vAlign w:val="center"/>
          </w:tcPr>
          <w:p>
            <w:pPr>
              <w:spacing w:after="0"/>
            </w:pPr>
            <w:r>
              <w:rPr>
                <w:rFonts w:ascii="Arial" w:hAnsi="Arial" w:eastAsia="Arial"/>
                <w:sz w:val="19"/>
              </w:rPr>
              <w:t>Compact run history entry plus summary of best run, convergence trend, repeated causes, and known failure patterns.</w:t>
            </w:r>
          </w:p>
        </w:tc>
      </w:tr>
    </w:tbl>
    <w:p/>
    <w:p>
      <w:pPr>
        <w:pStyle w:val="Heading1"/>
      </w:pPr>
      <w:r>
        <w:t>5. Controlled rerun policy</w:t>
      </w:r>
    </w:p>
    <w:p>
      <w:pPr/>
      <w:r>
        <w:t>Reruns are intentionally conservative. They require an available iteration budget and a refiner recommendation to continue with supported safe overrides.</w:t>
      </w:r>
    </w:p>
    <w:p>
      <w:pPr>
        <w:pStyle w:val="ListBullet"/>
      </w:pPr>
      <w:r>
        <w:t>Allowed automatic patches: solver_settings.time_limit_seconds, solver_settings.relative_mip_gap, solver_settings.presolve, solver_settings.log_to_console, and solver_settings.log_file.</w:t>
      </w:r>
    </w:p>
    <w:p>
      <w:pPr>
        <w:pStyle w:val="ListBullet"/>
      </w:pPr>
      <w:r>
        <w:t>Skipped unsupported solver hints: warm_start, NumericFocus, and ScaleFlag.</w:t>
      </w:r>
    </w:p>
    <w:p>
      <w:pPr>
        <w:pStyle w:val="ListBullet"/>
      </w:pPr>
      <w:r>
        <w:t>Blocked changes: policy constraints, generator changes, demand changes, structural changes, and model reformulations.</w:t>
      </w:r>
    </w:p>
    <w:p>
      <w:pPr>
        <w:pStyle w:val="Heading1"/>
      </w:pPr>
      <w:r>
        <w:t>6. App usage demo</w:t>
      </w:r>
    </w:p>
    <w:p>
      <w:pPr/>
      <w:r>
        <w:t>Run these commands from the repository root in PowerShell.</w:t>
      </w:r>
    </w:p>
    <w:p>
      <w:pPr/>
      <w:r>
        <w:t>Run the current capacity expansion smoke scenario:</w:t>
      </w:r>
    </w:p>
    <w:p>
      <w:pPr>
        <w:spacing w:after="40"/>
        <w:ind w:left="360"/>
      </w:pPr>
      <w:r>
        <w:rPr>
          <w:rFonts w:ascii="Courier New" w:hAnsi="Courier New" w:eastAsia="Courier New"/>
          <w:color w:val="000000"/>
          <w:sz w:val="19"/>
        </w:rPr>
        <w:t>python -m agent.orchestrator run --config test\capacity_expansion_test_1\test_scenario_1_output.yaml --run-id orchestration_smoke_test</w:t>
      </w:r>
    </w:p>
    <w:p>
      <w:pPr/>
      <w:r>
        <w:t>Allow a controlled rerun budget:</w:t>
      </w:r>
    </w:p>
    <w:p>
      <w:pPr>
        <w:spacing w:after="40"/>
        <w:ind w:left="360"/>
      </w:pPr>
      <w:r>
        <w:rPr>
          <w:rFonts w:ascii="Courier New" w:hAnsi="Courier New" w:eastAsia="Courier New"/>
          <w:color w:val="000000"/>
          <w:sz w:val="19"/>
        </w:rPr>
        <w:t>python -m agent.orchestrator run --config test\capacity_expansion_test_1\test_scenario_1_output.yaml --run-id controlled_rerun_smoke --max-iterations 2</w:t>
      </w:r>
    </w:p>
    <w:p>
      <w:pPr/>
      <w:r>
        <w:t>Explicitly allow safe reruns:</w:t>
      </w:r>
    </w:p>
    <w:p>
      <w:pPr>
        <w:spacing w:after="40"/>
        <w:ind w:left="360"/>
      </w:pPr>
      <w:r>
        <w:rPr>
          <w:rFonts w:ascii="Courier New" w:hAnsi="Courier New" w:eastAsia="Courier New"/>
          <w:color w:val="000000"/>
          <w:sz w:val="19"/>
        </w:rPr>
        <w:t>python -m agent.orchestrator run --config test\capacity_expansion_test_1\test_scenario_1_output.yaml --run-id safe_rerun_test --max-iterations 2 --enable-reruns</w:t>
      </w:r>
    </w:p>
    <w:p>
      <w:pPr/>
      <w:r>
        <w:t>View accumulated history:</w:t>
      </w:r>
    </w:p>
    <w:p>
      <w:pPr>
        <w:spacing w:after="40"/>
        <w:ind w:left="360"/>
      </w:pPr>
      <w:r>
        <w:rPr>
          <w:rFonts w:ascii="Courier New" w:hAnsi="Courier New" w:eastAsia="Courier New"/>
          <w:color w:val="000000"/>
          <w:sz w:val="19"/>
        </w:rPr>
        <w:t>python -m agent.orchestrator history</w:t>
      </w:r>
    </w:p>
    <w:p>
      <w:pPr/>
      <w:r>
        <w:t>Compile-check agent modules:</w:t>
      </w:r>
    </w:p>
    <w:p>
      <w:pPr>
        <w:spacing w:after="40"/>
        <w:ind w:left="360"/>
      </w:pPr>
      <w:r>
        <w:rPr>
          <w:rFonts w:ascii="Courier New" w:hAnsi="Courier New" w:eastAsia="Courier New"/>
          <w:color w:val="000000"/>
          <w:sz w:val="19"/>
        </w:rPr>
        <w:t>python -m py_compile agent\orchestrator.py agent\validation.py agent\output_analysis.py agent\solver_log_analysis.py agent\refiner.py agent\iteration_memory.py agent\scenario_patching.py</w:t>
      </w:r>
    </w:p>
    <w:p>
      <w:pPr>
        <w:pStyle w:val="Heading1"/>
      </w:pPr>
      <w:r>
        <w:t>7. Current smoke result</w:t>
      </w:r>
    </w:p>
    <w:tbl>
      <w:tblPr>
        <w:tblStyle w:val="TableGrid"/>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c>
          <w:tcPr>
            <w:tcW w:type="dxa" w:w="3000"/>
            <w:shd w:fill="F8F9FA"/>
            <w:tcMar>
              <w:top w:w="80" w:type="dxa"/>
              <w:start w:w="120" w:type="dxa"/>
              <w:bottom w:w="80" w:type="dxa"/>
              <w:end w:w="120" w:type="dxa"/>
            </w:tcMar>
            <w:vAlign w:val="center"/>
          </w:tcPr>
          <w:p>
            <w:r>
              <w:rPr>
                <w:rFonts w:ascii="Arial" w:hAnsi="Arial" w:eastAsia="Arial"/>
                <w:b/>
                <w:sz w:val="20"/>
              </w:rPr>
              <w:t>Metric</w:t>
            </w:r>
          </w:p>
        </w:tc>
        <w:tc>
          <w:tcPr>
            <w:tcW w:type="dxa" w:w="6360"/>
            <w:shd w:fill="F8F9FA"/>
            <w:tcMar>
              <w:top w:w="80" w:type="dxa"/>
              <w:start w:w="120" w:type="dxa"/>
              <w:bottom w:w="80" w:type="dxa"/>
              <w:end w:w="120" w:type="dxa"/>
            </w:tcMar>
            <w:vAlign w:val="center"/>
          </w:tcPr>
          <w:p>
            <w:r>
              <w:rPr>
                <w:rFonts w:ascii="Arial" w:hAnsi="Arial" w:eastAsia="Arial"/>
                <w:b/>
                <w:sz w:val="20"/>
              </w:rPr>
              <w:t>Value</w:t>
            </w:r>
          </w:p>
        </w:tc>
      </w:tr>
      <w:tr>
        <w:tc>
          <w:tcPr>
            <w:tcW w:type="dxa" w:w="3000"/>
            <w:tcMar>
              <w:top w:w="80" w:type="dxa"/>
              <w:start w:w="120" w:type="dxa"/>
              <w:bottom w:w="80" w:type="dxa"/>
              <w:end w:w="120" w:type="dxa"/>
            </w:tcMar>
            <w:vAlign w:val="center"/>
          </w:tcPr>
          <w:p>
            <w:pPr>
              <w:spacing w:after="0"/>
            </w:pPr>
            <w:r>
              <w:rPr>
                <w:rFonts w:ascii="Arial" w:hAnsi="Arial" w:eastAsia="Arial"/>
                <w:sz w:val="19"/>
              </w:rPr>
              <w:t>Final status</w:t>
            </w:r>
          </w:p>
        </w:tc>
        <w:tc>
          <w:tcPr>
            <w:tcW w:type="dxa" w:w="6360"/>
            <w:tcMar>
              <w:top w:w="80" w:type="dxa"/>
              <w:start w:w="120" w:type="dxa"/>
              <w:bottom w:w="80" w:type="dxa"/>
              <w:end w:w="120" w:type="dxa"/>
            </w:tcMar>
            <w:vAlign w:val="center"/>
          </w:tcPr>
          <w:p>
            <w:pPr>
              <w:spacing w:after="0"/>
            </w:pPr>
            <w:r>
              <w:rPr>
                <w:rFonts w:ascii="Arial" w:hAnsi="Arial" w:eastAsia="Arial"/>
                <w:sz w:val="19"/>
              </w:rPr>
              <w:t>COMPLETED</w:t>
            </w:r>
          </w:p>
        </w:tc>
      </w:tr>
      <w:tr>
        <w:tc>
          <w:tcPr>
            <w:tcW w:type="dxa" w:w="3000"/>
            <w:tcMar>
              <w:top w:w="80" w:type="dxa"/>
              <w:start w:w="120" w:type="dxa"/>
              <w:bottom w:w="80" w:type="dxa"/>
              <w:end w:w="120" w:type="dxa"/>
            </w:tcMar>
            <w:vAlign w:val="center"/>
          </w:tcPr>
          <w:p>
            <w:pPr>
              <w:spacing w:after="0"/>
            </w:pPr>
            <w:r>
              <w:rPr>
                <w:rFonts w:ascii="Arial" w:hAnsi="Arial" w:eastAsia="Arial"/>
                <w:sz w:val="19"/>
              </w:rPr>
              <w:t>Solver status</w:t>
            </w:r>
          </w:p>
        </w:tc>
        <w:tc>
          <w:tcPr>
            <w:tcW w:type="dxa" w:w="6360"/>
            <w:tcMar>
              <w:top w:w="80" w:type="dxa"/>
              <w:start w:w="120" w:type="dxa"/>
              <w:bottom w:w="80" w:type="dxa"/>
              <w:end w:w="120" w:type="dxa"/>
            </w:tcMar>
            <w:vAlign w:val="center"/>
          </w:tcPr>
          <w:p>
            <w:pPr>
              <w:spacing w:after="0"/>
            </w:pPr>
            <w:r>
              <w:rPr>
                <w:rFonts w:ascii="Arial" w:hAnsi="Arial" w:eastAsia="Arial"/>
                <w:sz w:val="19"/>
              </w:rPr>
              <w:t>OPTIMAL</w:t>
            </w:r>
          </w:p>
        </w:tc>
      </w:tr>
      <w:tr>
        <w:tc>
          <w:tcPr>
            <w:tcW w:type="dxa" w:w="3000"/>
            <w:tcMar>
              <w:top w:w="80" w:type="dxa"/>
              <w:start w:w="120" w:type="dxa"/>
              <w:bottom w:w="80" w:type="dxa"/>
              <w:end w:w="120" w:type="dxa"/>
            </w:tcMar>
            <w:vAlign w:val="center"/>
          </w:tcPr>
          <w:p>
            <w:pPr>
              <w:spacing w:after="0"/>
            </w:pPr>
            <w:r>
              <w:rPr>
                <w:rFonts w:ascii="Arial" w:hAnsi="Arial" w:eastAsia="Arial"/>
                <w:sz w:val="19"/>
              </w:rPr>
              <w:t>Objective</w:t>
            </w:r>
          </w:p>
        </w:tc>
        <w:tc>
          <w:tcPr>
            <w:tcW w:type="dxa" w:w="6360"/>
            <w:tcMar>
              <w:top w:w="80" w:type="dxa"/>
              <w:start w:w="120" w:type="dxa"/>
              <w:bottom w:w="80" w:type="dxa"/>
              <w:end w:w="120" w:type="dxa"/>
            </w:tcMar>
            <w:vAlign w:val="center"/>
          </w:tcPr>
          <w:p>
            <w:pPr>
              <w:spacing w:after="0"/>
            </w:pPr>
            <w:r>
              <w:rPr>
                <w:rFonts w:ascii="Arial" w:hAnsi="Arial" w:eastAsia="Arial"/>
                <w:sz w:val="19"/>
              </w:rPr>
              <w:t>990,873,978.80 USD</w:t>
            </w:r>
          </w:p>
        </w:tc>
      </w:tr>
      <w:tr>
        <w:tc>
          <w:tcPr>
            <w:tcW w:type="dxa" w:w="3000"/>
            <w:tcMar>
              <w:top w:w="80" w:type="dxa"/>
              <w:start w:w="120" w:type="dxa"/>
              <w:bottom w:w="80" w:type="dxa"/>
              <w:end w:w="120" w:type="dxa"/>
            </w:tcMar>
            <w:vAlign w:val="center"/>
          </w:tcPr>
          <w:p>
            <w:pPr>
              <w:spacing w:after="0"/>
            </w:pPr>
            <w:r>
              <w:rPr>
                <w:rFonts w:ascii="Arial" w:hAnsi="Arial" w:eastAsia="Arial"/>
                <w:sz w:val="19"/>
              </w:rPr>
              <w:t>Max power-balance imbalance</w:t>
            </w:r>
          </w:p>
        </w:tc>
        <w:tc>
          <w:tcPr>
            <w:tcW w:type="dxa" w:w="6360"/>
            <w:tcMar>
              <w:top w:w="80" w:type="dxa"/>
              <w:start w:w="120" w:type="dxa"/>
              <w:bottom w:w="80" w:type="dxa"/>
              <w:end w:w="120" w:type="dxa"/>
            </w:tcMar>
            <w:vAlign w:val="center"/>
          </w:tcPr>
          <w:p>
            <w:pPr>
              <w:spacing w:after="0"/>
            </w:pPr>
            <w:r>
              <w:rPr>
                <w:rFonts w:ascii="Arial" w:hAnsi="Arial" w:eastAsia="Arial"/>
                <w:sz w:val="19"/>
              </w:rPr>
              <w:t>0.0 MWh</w:t>
            </w:r>
          </w:p>
        </w:tc>
      </w:tr>
      <w:tr>
        <w:tc>
          <w:tcPr>
            <w:tcW w:type="dxa" w:w="3000"/>
            <w:tcMar>
              <w:top w:w="80" w:type="dxa"/>
              <w:start w:w="120" w:type="dxa"/>
              <w:bottom w:w="80" w:type="dxa"/>
              <w:end w:w="120" w:type="dxa"/>
            </w:tcMar>
            <w:vAlign w:val="center"/>
          </w:tcPr>
          <w:p>
            <w:pPr>
              <w:spacing w:after="0"/>
            </w:pPr>
            <w:r>
              <w:rPr>
                <w:rFonts w:ascii="Arial" w:hAnsi="Arial" w:eastAsia="Arial"/>
                <w:sz w:val="19"/>
              </w:rPr>
              <w:t>Max capacity violation</w:t>
            </w:r>
          </w:p>
        </w:tc>
        <w:tc>
          <w:tcPr>
            <w:tcW w:type="dxa" w:w="6360"/>
            <w:tcMar>
              <w:top w:w="80" w:type="dxa"/>
              <w:start w:w="120" w:type="dxa"/>
              <w:bottom w:w="80" w:type="dxa"/>
              <w:end w:w="120" w:type="dxa"/>
            </w:tcMar>
            <w:vAlign w:val="center"/>
          </w:tcPr>
          <w:p>
            <w:pPr>
              <w:spacing w:after="0"/>
            </w:pPr>
            <w:r>
              <w:rPr>
                <w:rFonts w:ascii="Arial" w:hAnsi="Arial" w:eastAsia="Arial"/>
                <w:sz w:val="19"/>
              </w:rPr>
              <w:t>0.0 MWh</w:t>
            </w:r>
          </w:p>
        </w:tc>
      </w:tr>
      <w:tr>
        <w:tc>
          <w:tcPr>
            <w:tcW w:type="dxa" w:w="3000"/>
            <w:tcMar>
              <w:top w:w="80" w:type="dxa"/>
              <w:start w:w="120" w:type="dxa"/>
              <w:bottom w:w="80" w:type="dxa"/>
              <w:end w:w="120" w:type="dxa"/>
            </w:tcMar>
            <w:vAlign w:val="center"/>
          </w:tcPr>
          <w:p>
            <w:pPr>
              <w:spacing w:after="0"/>
            </w:pPr>
            <w:r>
              <w:rPr>
                <w:rFonts w:ascii="Arial" w:hAnsi="Arial" w:eastAsia="Arial"/>
                <w:sz w:val="19"/>
              </w:rPr>
              <w:t>Total non-served energy</w:t>
            </w:r>
          </w:p>
        </w:tc>
        <w:tc>
          <w:tcPr>
            <w:tcW w:type="dxa" w:w="6360"/>
            <w:tcMar>
              <w:top w:w="80" w:type="dxa"/>
              <w:start w:w="120" w:type="dxa"/>
              <w:bottom w:w="80" w:type="dxa"/>
              <w:end w:w="120" w:type="dxa"/>
            </w:tcMar>
            <w:vAlign w:val="center"/>
          </w:tcPr>
          <w:p>
            <w:pPr>
              <w:spacing w:after="0"/>
            </w:pPr>
            <w:r>
              <w:rPr>
                <w:rFonts w:ascii="Arial" w:hAnsi="Arial" w:eastAsia="Arial"/>
                <w:sz w:val="19"/>
              </w:rPr>
              <w:t>637.0 MWh</w:t>
            </w:r>
          </w:p>
        </w:tc>
      </w:tr>
      <w:tr>
        <w:tc>
          <w:tcPr>
            <w:tcW w:type="dxa" w:w="3000"/>
            <w:tcMar>
              <w:top w:w="80" w:type="dxa"/>
              <w:start w:w="120" w:type="dxa"/>
              <w:bottom w:w="80" w:type="dxa"/>
              <w:end w:w="120" w:type="dxa"/>
            </w:tcMar>
            <w:vAlign w:val="center"/>
          </w:tcPr>
          <w:p>
            <w:pPr>
              <w:spacing w:after="0"/>
            </w:pPr>
            <w:r>
              <w:rPr>
                <w:rFonts w:ascii="Arial" w:hAnsi="Arial" w:eastAsia="Arial"/>
                <w:sz w:val="19"/>
              </w:rPr>
              <w:t>NSE fraction of demand</w:t>
            </w:r>
          </w:p>
        </w:tc>
        <w:tc>
          <w:tcPr>
            <w:tcW w:type="dxa" w:w="6360"/>
            <w:tcMar>
              <w:top w:w="80" w:type="dxa"/>
              <w:start w:w="120" w:type="dxa"/>
              <w:bottom w:w="80" w:type="dxa"/>
              <w:end w:w="120" w:type="dxa"/>
            </w:tcMar>
            <w:vAlign w:val="center"/>
          </w:tcPr>
          <w:p>
            <w:pPr>
              <w:spacing w:after="0"/>
            </w:pPr>
            <w:r>
              <w:rPr>
                <w:rFonts w:ascii="Arial" w:hAnsi="Arial" w:eastAsia="Arial"/>
                <w:sz w:val="19"/>
              </w:rPr>
              <w:t>0.0028%</w:t>
            </w:r>
          </w:p>
        </w:tc>
      </w:tr>
      <w:tr>
        <w:tc>
          <w:tcPr>
            <w:tcW w:type="dxa" w:w="3000"/>
            <w:tcMar>
              <w:top w:w="80" w:type="dxa"/>
              <w:start w:w="120" w:type="dxa"/>
              <w:bottom w:w="80" w:type="dxa"/>
              <w:end w:w="120" w:type="dxa"/>
            </w:tcMar>
            <w:vAlign w:val="center"/>
          </w:tcPr>
          <w:p>
            <w:pPr>
              <w:spacing w:after="0"/>
            </w:pPr>
            <w:r>
              <w:rPr>
                <w:rFonts w:ascii="Arial" w:hAnsi="Arial" w:eastAsia="Arial"/>
                <w:sz w:val="19"/>
              </w:rPr>
              <w:t>Refiner recommendation</w:t>
            </w:r>
          </w:p>
        </w:tc>
        <w:tc>
          <w:tcPr>
            <w:tcW w:type="dxa" w:w="6360"/>
            <w:tcMar>
              <w:top w:w="80" w:type="dxa"/>
              <w:start w:w="120" w:type="dxa"/>
              <w:bottom w:w="80" w:type="dxa"/>
              <w:end w:w="120" w:type="dxa"/>
            </w:tcMar>
            <w:vAlign w:val="center"/>
          </w:tcPr>
          <w:p>
            <w:pPr>
              <w:spacing w:after="0"/>
            </w:pPr>
            <w:r>
              <w:rPr>
                <w:rFonts w:ascii="Arial" w:hAnsi="Arial" w:eastAsia="Arial"/>
                <w:sz w:val="19"/>
              </w:rPr>
              <w:t>STOP / NO_FIX</w:t>
            </w:r>
          </w:p>
        </w:tc>
      </w:tr>
    </w:tbl>
    <w:p/>
    <w:p>
      <w:pPr/>
      <w:r>
        <w:t>Because the refiner recommends STOP for the current smoke scenario, increasing --max-iterations does not trigger a rerun. That is expected behavior.</w:t>
      </w:r>
    </w:p>
    <w:p>
      <w:pPr>
        <w:pStyle w:val="Heading1"/>
      </w:pPr>
      <w:r>
        <w:t>8. Development notes and next steps</w:t>
      </w:r>
    </w:p>
    <w:p>
      <w:pPr>
        <w:pStyle w:val="ListBullet"/>
      </w:pPr>
      <w:r>
        <w:t>The current Python backend does not write the configured HiGHS log path, so solver-log analysis falls back to captured stdout/stderr for that backend.</w:t>
      </w:r>
    </w:p>
    <w:p>
      <w:pPr>
        <w:pStyle w:val="ListBullet"/>
      </w:pPr>
      <w:r>
        <w:t>The Julia test case includes a real HiGHS log, and the parser can extract model size, simplex iterations, runtime, and objective from it.</w:t>
      </w:r>
    </w:p>
    <w:p>
      <w:pPr>
        <w:pStyle w:val="ListBullet"/>
      </w:pPr>
      <w:r>
        <w:t>If test runs become noisy, archive or reset runs/run_history.jsonl before a fresh demonstration run.</w:t>
      </w:r>
    </w:p>
    <w:p>
      <w:pPr>
        <w:pStyle w:val="ListBullet"/>
      </w:pPr>
      <w:r>
        <w:t>Before expanding policy or structural patching, add focused tests for validation, output analysis, solver-log analysis, refiner rules, scenario patching, and memory.</w:t>
      </w:r>
    </w:p>
    <w:p>
      <w:pPr>
        <w:pStyle w:val="Heading1"/>
      </w:pPr>
      <w:r>
        <w:t>Sources</w:t>
      </w:r>
    </w:p>
    <w:p>
      <w:pPr>
        <w:pStyle w:val="ListBullet"/>
      </w:pPr>
      <w:r>
        <w:t>README.md</w:t>
      </w:r>
    </w:p>
    <w:p>
      <w:pPr>
        <w:pStyle w:val="ListBullet"/>
      </w:pPr>
      <w:r>
        <w:t>agent/README.md</w:t>
      </w:r>
    </w:p>
    <w:p>
      <w:pPr>
        <w:pStyle w:val="ListBullet"/>
      </w:pPr>
      <w:r>
        <w:t>doc/Agent Workflow Guide.md</w:t>
      </w:r>
    </w:p>
    <w:p>
      <w:pPr>
        <w:pStyle w:val="ListBullet"/>
      </w:pPr>
      <w:r>
        <w:t>Pipeline.png</w:t>
      </w:r>
    </w:p>
    <w:p>
      <w:pPr>
        <w:pStyle w:val="ListBullet"/>
      </w:pPr>
      <w:r>
        <w:t>agent/*.py function definitions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