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</w:p>
    <w:p>
      <w:pPr>
        <w:pStyle w:val="Heading1"/>
        <w:jc w:val="center"/>
      </w:pPr>
      <w:r>
        <w:t>Informe de Optimización de Potencias</w:t>
      </w:r>
    </w:p>
    <w:p>
      <w:pPr>
        <w:jc w:val="center"/>
      </w:pPr>
      <w:r>
        <w:t>Análisis tarifario — Ejemplo de prueba</w:t>
      </w:r>
    </w:p>
    <w:p>
      <w:pPr>
        <w:jc w:val="center"/>
      </w:pPr>
      <w:r>
        <w:t>Fecha: 29/03/2026</w:t>
      </w:r>
    </w:p>
    <w:p/>
    <w:p>
      <w:pPr>
        <w:pStyle w:val="Heading2"/>
      </w:pPr>
      <w:r>
        <w:t>Resumen económico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A56DB"/>
              </w:rPr>
              <w:t>Coste tarifa contratada</w:t>
            </w:r>
          </w:p>
        </w:tc>
        <w:tc>
          <w:tcPr>
            <w:tcW w:type="dxa" w:w="2160"/>
          </w:tcPr>
          <w:p>
            <w:r>
              <w:rPr>
                <w:b/>
                <w:color w:val="1A56DB"/>
              </w:rPr>
              <w:t>Coste tarifa óptima</w:t>
            </w:r>
          </w:p>
        </w:tc>
        <w:tc>
          <w:tcPr>
            <w:tcW w:type="dxa" w:w="2160"/>
          </w:tcPr>
          <w:p>
            <w:r>
              <w:rPr>
                <w:b/>
                <w:color w:val="1A56DB"/>
              </w:rPr>
              <w:t>Ahorro estimado</w:t>
            </w:r>
          </w:p>
        </w:tc>
        <w:tc>
          <w:tcPr>
            <w:tcW w:type="dxa" w:w="2160"/>
          </w:tcPr>
          <w:p>
            <w:r>
              <w:rPr>
                <w:b/>
                <w:color w:val="1A56DB"/>
              </w:rPr>
              <w:t>Ahorro (%)</w:t>
            </w:r>
          </w:p>
        </w:tc>
      </w:tr>
      <w:tr>
        <w:tc>
          <w:tcPr>
            <w:tcW w:type="dxa" w:w="2160"/>
          </w:tcPr>
          <w:p>
            <w:r>
              <w:t>18.450,00 €</w:t>
            </w:r>
          </w:p>
        </w:tc>
        <w:tc>
          <w:tcPr>
            <w:tcW w:type="dxa" w:w="2160"/>
          </w:tcPr>
          <w:p>
            <w:r>
              <w:t>14.920,00 €</w:t>
            </w:r>
          </w:p>
        </w:tc>
        <w:tc>
          <w:tcPr>
            <w:tcW w:type="dxa" w:w="2160"/>
          </w:tcPr>
          <w:p>
            <w:r>
              <w:t>3.530,00 €</w:t>
            </w:r>
          </w:p>
        </w:tc>
        <w:tc>
          <w:tcPr>
            <w:tcW w:type="dxa" w:w="2160"/>
          </w:tcPr>
          <w:p>
            <w:r>
              <w:t>19.1 %</w:t>
            </w:r>
          </w:p>
        </w:tc>
      </w:tr>
    </w:tbl>
    <w:p/>
    <w:p>
      <w:pPr>
        <w:pStyle w:val="Heading2"/>
      </w:pPr>
      <w:r>
        <w:t>Detalle de potencias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Periodo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Pot. contratada (kW)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Pot. óptima (kW)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Ahorro (kW)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P6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</w:tbl>
    <w:p/>
    <w:p>
      <w:pPr>
        <w:pStyle w:val="Heading2"/>
      </w:pPr>
      <w:r>
        <w:t>Análisis gráfico</w:t>
      </w:r>
    </w:p>
    <w:p>
      <w:r>
        <w:rPr>
          <w:b/>
        </w:rPr>
        <w:t>Resumen</w:t>
      </w:r>
    </w:p>
    <w:p>
      <w:r>
        <w:drawing>
          <wp:inline xmlns:a="http://schemas.openxmlformats.org/drawingml/2006/main" xmlns:pic="http://schemas.openxmlformats.org/drawingml/2006/picture">
            <wp:extent cx="5029200" cy="2969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694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Costes potencia contratada</w:t>
      </w:r>
    </w:p>
    <w:p>
      <w:r>
        <w:drawing>
          <wp:inline xmlns:a="http://schemas.openxmlformats.org/drawingml/2006/main" xmlns:pic="http://schemas.openxmlformats.org/drawingml/2006/picture">
            <wp:extent cx="5029200" cy="2969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694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Ahorro estimado</w:t>
      </w:r>
    </w:p>
    <w:p>
      <w:r>
        <w:drawing>
          <wp:inline xmlns:a="http://schemas.openxmlformats.org/drawingml/2006/main" xmlns:pic="http://schemas.openxmlformats.org/drawingml/2006/picture">
            <wp:extent cx="5029200" cy="2969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694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Costes por periodos</w:t>
      </w:r>
    </w:p>
    <w:p>
      <w:r>
        <w:drawing>
          <wp:inline xmlns:a="http://schemas.openxmlformats.org/drawingml/2006/main" xmlns:pic="http://schemas.openxmlformats.org/drawingml/2006/picture">
            <wp:extent cx="5029200" cy="29694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694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