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912485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92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2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7460"/>
                            </w:tblGrid>
                            <w:tr>
                              <w:trPr>
                                <w:trHeight w:val="2070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544229626"/>
                                  <w:bookmarkStart w:id="2" w:name="_GoBack1"/>
                                  <w:bookmarkStart w:id="3" w:name="__UnoMark__801_2544229626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74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02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“7“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 xml:space="preserve">октября 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465.45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2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7460"/>
                      </w:tblGrid>
                      <w:tr>
                        <w:trPr>
                          <w:trHeight w:val="2070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544229626"/>
                            <w:bookmarkStart w:id="7" w:name="_GoBack1"/>
                            <w:bookmarkStart w:id="8" w:name="__UnoMark__801_2544229626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74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02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“7“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 xml:space="preserve">октября 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Операции. Литералы                                                                                                                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 </w:t>
      </w:r>
      <w:r>
        <w:rPr>
          <w:sz w:val="24"/>
          <w:szCs w:val="24"/>
          <w:u w:val="single"/>
        </w:rPr>
        <w:t>Изучение механизмов перегрузки операторов. Изучение механизмов работы с пользовательскими литералами.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 xml:space="preserve">r </w:t>
      </w:r>
      <w:r>
        <w:rPr>
          <w:b w:val="false"/>
          <w:bCs w:val="false"/>
        </w:rPr>
        <w:t xml:space="preserve">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 xml:space="preserve"> </w:t>
      </w:r>
      <w:r>
        <w:rPr>
          <w:b w:val="false"/>
          <w:bCs w:val="false"/>
        </w:rPr>
        <w:t xml:space="preserve">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–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 xml:space="preserve">2 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  <w:sz w:val="20"/>
          <w:szCs w:val="20"/>
        </w:rPr>
        <w:t>Complex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</w:t>
        </w:r>
      </w:hyperlink>
      <w:r>
        <w:rPr>
          <w:rStyle w:val="Style12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"Сумма:\n";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+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"Разность:\n";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m1 -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*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/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if (m1 == m2)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не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m1.sopr()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m2.sopr()&lt;&lt;std::endl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"Третье комплексное число:\n";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m3 = "[2:45]"_c;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m3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(0);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double Complex::get(int i) </w:t>
      </w:r>
      <w:r>
        <w:rPr>
          <w:sz w:val="20"/>
          <w:lang w:val="en-US"/>
        </w:rPr>
        <w:t xml:space="preserve">const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(arr[1]==90 || arr[1]==270){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k=0;}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(arr[1]==0 || arr[1]==180)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s=0;}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Complex::operator+ (const Complex&amp; rhs) </w:t>
      </w:r>
      <w:r>
        <w:rPr>
          <w:sz w:val="20"/>
          <w:lang w:val="en-US"/>
        </w:rPr>
        <w:t>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Complex::operator- (const Complex&amp; rhs)  </w:t>
      </w:r>
      <w:r>
        <w:rPr>
          <w:sz w:val="20"/>
          <w:lang w:val="en-US"/>
        </w:rPr>
        <w:t>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Complex::operator* (const Complex&amp; rhs)  </w:t>
      </w:r>
      <w:r>
        <w:rPr>
          <w:sz w:val="20"/>
          <w:lang w:val="en-US"/>
        </w:rPr>
        <w:t>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arr[1]+ rhs.arr[1];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Complex::operator/ (const Complex&amp; rhs)  </w:t>
      </w:r>
      <w:r>
        <w:rPr>
          <w:sz w:val="20"/>
          <w:lang w:val="en-US"/>
        </w:rPr>
        <w:t>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if (rhs.arr[0]!=0){res.arr[0] = arr[0]/rhs.arr[0];}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arr[1]-rhs.arr[1];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Complex::operator==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return (arr[0]==rhs.arr[0] &amp;&amp; arr[1]==rhs.arr[1]); 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Complex::sopr() </w:t>
      </w:r>
      <w:r>
        <w:rPr>
          <w:sz w:val="20"/>
          <w:lang w:val="en-US"/>
        </w:rPr>
        <w:t>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operator ""_c(const char* str, size_t size){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double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Complex&amp; rhs){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rhs.arr[0] &gt;&gt; rhs.arr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rhs.arr[0] &lt;&lt;"*(cos("&lt;&lt;rhs.arr[1]&lt;&lt;")+i*sin("&lt;&lt;rhs.arr[1]&lt;&lt;"))";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Complex(double a, double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sopr() </w:t>
      </w:r>
      <w:r>
        <w:rPr>
          <w:sz w:val="20"/>
          <w:lang w:val="en-US"/>
        </w:rPr>
        <w:t>const</w:t>
      </w:r>
      <w:r>
        <w:rPr>
          <w:sz w:val="20"/>
          <w:lang w:val="en-US"/>
        </w:rPr>
        <w:t>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operator+ (const Complex&amp; rhs) </w:t>
      </w:r>
      <w:r>
        <w:rPr>
          <w:sz w:val="20"/>
          <w:lang w:val="en-US"/>
        </w:rPr>
        <w:t>const</w:t>
      </w:r>
      <w:r>
        <w:rPr>
          <w:sz w:val="20"/>
          <w:lang w:val="en-US"/>
        </w:rPr>
        <w:t>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operator- (const Complex&amp; rhs)  </w:t>
      </w:r>
      <w:r>
        <w:rPr>
          <w:sz w:val="20"/>
          <w:lang w:val="en-US"/>
        </w:rPr>
        <w:t>const</w:t>
      </w:r>
      <w:r>
        <w:rPr>
          <w:sz w:val="20"/>
          <w:lang w:val="en-US"/>
        </w:rPr>
        <w:t>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operator* (const Complex&amp; rhs)  </w:t>
      </w:r>
      <w:r>
        <w:rPr>
          <w:sz w:val="20"/>
          <w:lang w:val="en-US"/>
        </w:rPr>
        <w:t>const</w:t>
      </w:r>
      <w:r>
        <w:rPr>
          <w:sz w:val="20"/>
          <w:lang w:val="en-US"/>
        </w:rPr>
        <w:t>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operator/ (const Complex&amp; rhs) </w:t>
      </w:r>
      <w:r>
        <w:rPr>
          <w:sz w:val="20"/>
          <w:lang w:val="en-US"/>
        </w:rPr>
        <w:t>const</w:t>
      </w:r>
      <w:r>
        <w:rPr>
          <w:sz w:val="20"/>
          <w:lang w:val="en-US"/>
        </w:rPr>
        <w:t>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Complex&amp; rhs);</w:t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operator ""_c(const char* str, size_t size);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project(2lab)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2.64  1. 24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1.73  2.09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3.57  1.42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7.43  0.49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4.37359*(cos(0.726186)+i*sin(0.726186))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2.4478*(cos(-2.25026)+i*sin(-2.25026))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2*(cos(90)+i*sin(90))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2.64575*(cos(1.23732)+i*sin(1.23732))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1.73205*(cos(2.0944)+i*sin(2.0944))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2*(cos(-90)+i*sin(-90))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3*(cos(180)+i*sin(180))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3.57586*(cos(1.42047)+i*sin(1.42047))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7.43056*(cos(0.495885)+i*sin(0.495885))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3*(cos(-180)+i*sin(-180))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complex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7</Pages>
  <Words>1043</Words>
  <Characters>7660</Characters>
  <CharactersWithSpaces>8922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2019-10-14T16:34:06Z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