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E751" w14:textId="2465D95C" w:rsidR="00D7161A" w:rsidRDefault="0060228A">
      <w:r>
        <w:t>Excel function:</w:t>
      </w:r>
    </w:p>
    <w:p w14:paraId="72506155" w14:textId="055F4BF8" w:rsidR="0060228A" w:rsidRDefault="0060228A">
      <w:r>
        <w:t>Day_type</w:t>
      </w:r>
    </w:p>
    <w:p w14:paraId="26519AF0" w14:textId="2409D5F2" w:rsidR="0060228A" w:rsidRDefault="0060228A">
      <w:r w:rsidRPr="0060228A">
        <w:t>=</w:t>
      </w:r>
      <w:proofErr w:type="gramStart"/>
      <w:r w:rsidRPr="0060228A">
        <w:t>IF(</w:t>
      </w:r>
      <w:proofErr w:type="gramEnd"/>
      <w:r w:rsidRPr="0060228A">
        <w:t>H2="</w:t>
      </w:r>
      <w:proofErr w:type="spellStart"/>
      <w:r w:rsidRPr="0060228A">
        <w:t>Y","Public</w:t>
      </w:r>
      <w:proofErr w:type="spellEnd"/>
      <w:r w:rsidRPr="0060228A">
        <w:t xml:space="preserve"> Holiday", IF(G2="Y",IF(J2="</w:t>
      </w:r>
      <w:proofErr w:type="spellStart"/>
      <w:r w:rsidRPr="0060228A">
        <w:t>N","School</w:t>
      </w:r>
      <w:proofErr w:type="spellEnd"/>
      <w:r w:rsidRPr="0060228A">
        <w:t xml:space="preserve"> Holiday </w:t>
      </w:r>
      <w:proofErr w:type="spellStart"/>
      <w:r w:rsidRPr="0060228A">
        <w:t>Weekday","Normal</w:t>
      </w:r>
      <w:proofErr w:type="spellEnd"/>
      <w:r w:rsidRPr="0060228A">
        <w:t xml:space="preserve"> Weekday"),IF(F2="</w:t>
      </w:r>
      <w:proofErr w:type="spellStart"/>
      <w:r w:rsidRPr="0060228A">
        <w:t>Sat","Saturday","Sunday</w:t>
      </w:r>
      <w:proofErr w:type="spellEnd"/>
      <w:r w:rsidRPr="0060228A">
        <w:t>")))</w:t>
      </w:r>
    </w:p>
    <w:p w14:paraId="2098E789" w14:textId="77777777" w:rsidR="00E37084" w:rsidRPr="00E37084" w:rsidRDefault="00E37084" w:rsidP="00E37084">
      <w:r w:rsidRPr="00E37084">
        <w:rPr>
          <w:b/>
          <w:bCs/>
        </w:rPr>
        <w:t>Key Points:</w:t>
      </w:r>
    </w:p>
    <w:p w14:paraId="24F73DC6" w14:textId="77777777" w:rsidR="00E37084" w:rsidRPr="00E37084" w:rsidRDefault="00E37084" w:rsidP="00E37084">
      <w:r w:rsidRPr="00E37084">
        <w:rPr>
          <w:b/>
          <w:bCs/>
        </w:rPr>
        <w:t>First half of 2023</w:t>
      </w:r>
    </w:p>
    <w:p w14:paraId="3C09A7F3" w14:textId="77777777" w:rsidR="00E37084" w:rsidRPr="00E37084" w:rsidRDefault="00E37084" w:rsidP="00E37084">
      <w:r w:rsidRPr="00E37084">
        <w:rPr>
          <w:b/>
          <w:bCs/>
        </w:rPr>
        <w:t>1.Average Recovery Rate: </w:t>
      </w:r>
    </w:p>
    <w:p w14:paraId="597CF901" w14:textId="77777777" w:rsidR="00E37084" w:rsidRPr="00E37084" w:rsidRDefault="00E37084" w:rsidP="00E37084">
      <w:r w:rsidRPr="00E37084">
        <w:t>The average recovery rate from pre-COVID levels in 2023 is approximately 79% for buses, 86% for ferries, and 54% for trains. This indicates that ferry services have recovered the most in terms of patronage, while trains have the lowest recovery.</w:t>
      </w:r>
    </w:p>
    <w:p w14:paraId="2A699280" w14:textId="77777777" w:rsidR="00E37084" w:rsidRPr="00E37084" w:rsidRDefault="00E37084" w:rsidP="00E37084">
      <w:r w:rsidRPr="00E37084">
        <w:br/>
      </w:r>
      <w:r w:rsidRPr="00E37084">
        <w:rPr>
          <w:b/>
          <w:bCs/>
        </w:rPr>
        <w:t>2.Difference from Baseline:</w:t>
      </w:r>
      <w:r w:rsidRPr="00E37084">
        <w:t> </w:t>
      </w:r>
    </w:p>
    <w:p w14:paraId="2F260AFF" w14:textId="77777777" w:rsidR="00E37084" w:rsidRPr="00E37084" w:rsidRDefault="00E37084" w:rsidP="00E37084">
      <w:r w:rsidRPr="00E37084">
        <w:t>On average, bus patronage is about 57,140 riders below the baseline, ferry patronage is about 1,616 riders below the baseline, and train patronage is about 31,701 riders below the baseline. This highlights that all types of public transport are still underperforming compared to pre-COVID expectations.</w:t>
      </w:r>
    </w:p>
    <w:p w14:paraId="6180B1F3" w14:textId="77777777" w:rsidR="00E37084" w:rsidRPr="00E37084" w:rsidRDefault="00E37084" w:rsidP="00E37084">
      <w:r w:rsidRPr="00E37084">
        <w:br/>
      </w:r>
      <w:proofErr w:type="gramStart"/>
      <w:r w:rsidRPr="00E37084">
        <w:rPr>
          <w:b/>
          <w:bCs/>
        </w:rPr>
        <w:t>3:Total</w:t>
      </w:r>
      <w:proofErr w:type="gramEnd"/>
      <w:r w:rsidRPr="00E37084">
        <w:rPr>
          <w:b/>
          <w:bCs/>
        </w:rPr>
        <w:t> Patronage: </w:t>
      </w:r>
    </w:p>
    <w:p w14:paraId="2137A4E6" w14:textId="77777777" w:rsidR="00E37084" w:rsidRPr="00E37084" w:rsidRDefault="00E37084" w:rsidP="00E37084">
      <w:r w:rsidRPr="00E37084">
        <w:t>In the first half of 2023, buses have the highest total patronage with over 1.14 million riders, followed by trains with approximately 224,696 riders, and ferries with around 46,804 riders. This suggests that buses are the most popular form of public transport in terms of total ridership</w:t>
      </w:r>
    </w:p>
    <w:p w14:paraId="6EBDDB6D" w14:textId="77777777" w:rsidR="00E37084" w:rsidRPr="00E37084" w:rsidRDefault="00E37084" w:rsidP="00E37084">
      <w:r w:rsidRPr="00E37084">
        <w:rPr>
          <w:b/>
          <w:bCs/>
        </w:rPr>
        <w:t>Month to month:</w:t>
      </w:r>
    </w:p>
    <w:p w14:paraId="0497D691" w14:textId="77777777" w:rsidR="00E37084" w:rsidRPr="00E37084" w:rsidRDefault="00E37084" w:rsidP="00E37084">
      <w:r w:rsidRPr="00E37084">
        <w:rPr>
          <w:b/>
          <w:bCs/>
        </w:rPr>
        <w:t>4. Bus Patronage:</w:t>
      </w:r>
      <w:r w:rsidRPr="00E37084">
        <w:br/>
        <w:t>The recovery rate was lowest in January (68.2%) and peaked in April (82.7%).</w:t>
      </w:r>
      <w:r w:rsidRPr="00E37084">
        <w:br/>
        <w:t>The patronage in January was about 56,502 riders below the 2019 baseline, and this deficit reduced to around 46,788 riders by June.</w:t>
      </w:r>
    </w:p>
    <w:p w14:paraId="500F36CA" w14:textId="77777777" w:rsidR="00E37084" w:rsidRPr="00E37084" w:rsidRDefault="00E37084" w:rsidP="00E37084">
      <w:r w:rsidRPr="00E37084">
        <w:rPr>
          <w:b/>
          <w:bCs/>
        </w:rPr>
        <w:t>5. Ferry Patronage:</w:t>
      </w:r>
      <w:r w:rsidRPr="00E37084">
        <w:br/>
        <w:t>The recovery rate was lowest in February (68.4%) and peaked in April (94.2%).</w:t>
      </w:r>
      <w:r w:rsidRPr="00E37084">
        <w:br/>
        <w:t>The patronage in January was about 2,334 riders below the 2019 baseline, and this deficit reduced to around 834 riders by June.</w:t>
      </w:r>
    </w:p>
    <w:p w14:paraId="72B5D379" w14:textId="77777777" w:rsidR="00E37084" w:rsidRPr="00E37084" w:rsidRDefault="00E37084" w:rsidP="00E37084">
      <w:r w:rsidRPr="00E37084">
        <w:rPr>
          <w:b/>
          <w:bCs/>
        </w:rPr>
        <w:t>6. Train Patronage:</w:t>
      </w:r>
      <w:r w:rsidRPr="00E37084">
        <w:br/>
        <w:t>The recovery rate was lowest in January (37.6%) and peaked in March and June (around 61.9%).</w:t>
      </w:r>
      <w:r w:rsidRPr="00E37084">
        <w:br/>
        <w:t>The patronage in January was about 30,028 riders below the 2019 baseline, and this deficit slightly reduced to around 26,318 riders by June.</w:t>
      </w:r>
    </w:p>
    <w:p w14:paraId="28617A42" w14:textId="663C003F" w:rsidR="00E37084" w:rsidRDefault="00E37084"/>
    <w:p w14:paraId="26E259DD" w14:textId="549E391E" w:rsidR="00BA59A2" w:rsidRDefault="00BA59A2"/>
    <w:p w14:paraId="550218D3" w14:textId="4C7F4A31" w:rsidR="00BA59A2" w:rsidRDefault="00BA59A2"/>
    <w:p w14:paraId="4A4E1716" w14:textId="30D8864D" w:rsidR="00BA59A2" w:rsidRDefault="00BA59A2"/>
    <w:p w14:paraId="7DA5139B" w14:textId="40EE2721" w:rsidR="00BA59A2" w:rsidRDefault="00BA59A2"/>
    <w:p w14:paraId="0B6006B7" w14:textId="7DEE5944" w:rsidR="00BA59A2" w:rsidRDefault="00BA59A2"/>
    <w:p w14:paraId="3BE38E26" w14:textId="23D118CE" w:rsidR="00BA59A2" w:rsidRDefault="00BA59A2"/>
    <w:p w14:paraId="27B157E0" w14:textId="5984F953" w:rsidR="00BA59A2" w:rsidRDefault="00BA59A2"/>
    <w:p w14:paraId="5D5DD3E5" w14:textId="7396E3DC" w:rsidR="00BA59A2" w:rsidRDefault="00BA59A2"/>
    <w:p w14:paraId="3B9724FF" w14:textId="77777777" w:rsidR="00BA59A2" w:rsidRPr="00BA59A2" w:rsidRDefault="00BA59A2" w:rsidP="00BA59A2">
      <w:pPr>
        <w:numPr>
          <w:ilvl w:val="0"/>
          <w:numId w:val="1"/>
        </w:numPr>
      </w:pPr>
      <w:r w:rsidRPr="00BA59A2">
        <w:t xml:space="preserve">Buses, Ferries, and Trains have seen recovery compared to 2019, with the </w:t>
      </w:r>
      <w:r w:rsidRPr="00BA59A2">
        <w:rPr>
          <w:b/>
          <w:bCs/>
        </w:rPr>
        <w:t>Ferry</w:t>
      </w:r>
      <w:r w:rsidRPr="00BA59A2">
        <w:t xml:space="preserve"> mode showing </w:t>
      </w:r>
      <w:r w:rsidRPr="00BA59A2">
        <w:rPr>
          <w:b/>
          <w:bCs/>
        </w:rPr>
        <w:t>the highest recovery rate</w:t>
      </w:r>
      <w:r w:rsidRPr="00BA59A2">
        <w:t>.</w:t>
      </w:r>
    </w:p>
    <w:p w14:paraId="30731E1C" w14:textId="77777777" w:rsidR="00BA59A2" w:rsidRPr="00BA59A2" w:rsidRDefault="00BA59A2" w:rsidP="00BA59A2">
      <w:pPr>
        <w:numPr>
          <w:ilvl w:val="0"/>
          <w:numId w:val="1"/>
        </w:numPr>
      </w:pPr>
      <w:r w:rsidRPr="00BA59A2">
        <w:rPr>
          <w:b/>
          <w:bCs/>
        </w:rPr>
        <w:t>Bus</w:t>
      </w:r>
      <w:r w:rsidRPr="00BA59A2">
        <w:t xml:space="preserve"> patronage has been strong, reaching nearly 90% of the baseline in June.</w:t>
      </w:r>
    </w:p>
    <w:p w14:paraId="4B56D8FC" w14:textId="77777777" w:rsidR="00BA59A2" w:rsidRPr="00BA59A2" w:rsidRDefault="00BA59A2" w:rsidP="00BA59A2">
      <w:pPr>
        <w:numPr>
          <w:ilvl w:val="0"/>
          <w:numId w:val="1"/>
        </w:numPr>
      </w:pPr>
      <w:r w:rsidRPr="00BA59A2">
        <w:rPr>
          <w:b/>
          <w:bCs/>
        </w:rPr>
        <w:t>Ferry</w:t>
      </w:r>
      <w:r w:rsidRPr="00BA59A2">
        <w:t xml:space="preserve"> patronage has demonstrated resilience, surpassing the 2019 baseline in June.</w:t>
      </w:r>
    </w:p>
    <w:p w14:paraId="5DCF19F4" w14:textId="77777777" w:rsidR="00BA59A2" w:rsidRPr="00BA59A2" w:rsidRDefault="00BA59A2" w:rsidP="00BA59A2">
      <w:pPr>
        <w:numPr>
          <w:ilvl w:val="0"/>
          <w:numId w:val="1"/>
        </w:numPr>
      </w:pPr>
      <w:r w:rsidRPr="00BA59A2">
        <w:rPr>
          <w:b/>
          <w:bCs/>
        </w:rPr>
        <w:t>Trains</w:t>
      </w:r>
      <w:r w:rsidRPr="00BA59A2">
        <w:t xml:space="preserve"> have a </w:t>
      </w:r>
      <w:r w:rsidRPr="00BA59A2">
        <w:rPr>
          <w:b/>
          <w:bCs/>
        </w:rPr>
        <w:t xml:space="preserve">lower </w:t>
      </w:r>
      <w:r w:rsidRPr="00BA59A2">
        <w:t>recovery rate, with a peak in June.</w:t>
      </w:r>
    </w:p>
    <w:p w14:paraId="6D23A0BF" w14:textId="77777777" w:rsidR="00BA59A2" w:rsidRPr="00BA59A2" w:rsidRDefault="00BA59A2" w:rsidP="00BA59A2">
      <w:pPr>
        <w:numPr>
          <w:ilvl w:val="0"/>
          <w:numId w:val="1"/>
        </w:numPr>
      </w:pPr>
      <w:r w:rsidRPr="00BA59A2">
        <w:rPr>
          <w:b/>
          <w:bCs/>
        </w:rPr>
        <w:t>Month-to-month</w:t>
      </w:r>
      <w:r w:rsidRPr="00BA59A2">
        <w:t xml:space="preserve"> trends show March as a turning point, with June exhibiting the highest recovery.</w:t>
      </w:r>
    </w:p>
    <w:p w14:paraId="0ADAA9F0" w14:textId="77777777" w:rsidR="00BA59A2" w:rsidRPr="00BA59A2" w:rsidRDefault="00BA59A2" w:rsidP="00BA59A2">
      <w:pPr>
        <w:numPr>
          <w:ilvl w:val="0"/>
          <w:numId w:val="1"/>
        </w:numPr>
      </w:pPr>
      <w:r w:rsidRPr="00BA59A2">
        <w:rPr>
          <w:b/>
          <w:bCs/>
        </w:rPr>
        <w:t>Weekend</w:t>
      </w:r>
      <w:r w:rsidRPr="00BA59A2">
        <w:t xml:space="preserve"> recovery rates are generally higher than </w:t>
      </w:r>
      <w:r w:rsidRPr="00BA59A2">
        <w:rPr>
          <w:b/>
          <w:bCs/>
        </w:rPr>
        <w:t>weekdays</w:t>
      </w:r>
      <w:r w:rsidRPr="00BA59A2">
        <w:t>, indicating a preference for leisure travel. Buses, Ferries, and Trains have seen recovery compared to 2019, with the Ferry mode showing the highest recovery rate.</w:t>
      </w:r>
    </w:p>
    <w:p w14:paraId="01B61B0E" w14:textId="77777777" w:rsidR="00BA59A2" w:rsidRPr="00BA59A2" w:rsidRDefault="00BA59A2" w:rsidP="00BA59A2">
      <w:pPr>
        <w:numPr>
          <w:ilvl w:val="0"/>
          <w:numId w:val="1"/>
        </w:numPr>
      </w:pPr>
      <w:r w:rsidRPr="00BA59A2">
        <w:t>Buses show higher recovery on weekends, while Ferries and Trains also have higher recovery rates on weekends.</w:t>
      </w:r>
    </w:p>
    <w:p w14:paraId="4238AAC6" w14:textId="77777777" w:rsidR="00BA59A2" w:rsidRPr="00BA59A2" w:rsidRDefault="00BA59A2" w:rsidP="00BA59A2">
      <w:pPr>
        <w:numPr>
          <w:ilvl w:val="0"/>
          <w:numId w:val="1"/>
        </w:numPr>
      </w:pPr>
      <w:r w:rsidRPr="00BA59A2">
        <w:t>Notable patterns include a peak in recovery in June.</w:t>
      </w:r>
    </w:p>
    <w:p w14:paraId="12FC3ABD" w14:textId="77777777" w:rsidR="00BA59A2" w:rsidRPr="00BA59A2" w:rsidRDefault="00BA59A2" w:rsidP="00BA59A2">
      <w:pPr>
        <w:numPr>
          <w:ilvl w:val="0"/>
          <w:numId w:val="1"/>
        </w:numPr>
      </w:pPr>
      <w:r w:rsidRPr="00BA59A2">
        <w:t xml:space="preserve">These insights provide valuable information for strategic planning and adapting to evolving travel patterns in Auckland's public transport system. </w:t>
      </w:r>
    </w:p>
    <w:p w14:paraId="7EB06FCC" w14:textId="77777777" w:rsidR="00BA59A2" w:rsidRDefault="00BA59A2"/>
    <w:sectPr w:rsidR="00BA5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12902"/>
    <w:multiLevelType w:val="hybridMultilevel"/>
    <w:tmpl w:val="DDEEAFBE"/>
    <w:lvl w:ilvl="0" w:tplc="A67EBD00">
      <w:start w:val="1"/>
      <w:numFmt w:val="bullet"/>
      <w:lvlText w:val="•"/>
      <w:lvlJc w:val="left"/>
      <w:pPr>
        <w:tabs>
          <w:tab w:val="num" w:pos="720"/>
        </w:tabs>
        <w:ind w:left="720" w:hanging="360"/>
      </w:pPr>
      <w:rPr>
        <w:rFonts w:ascii="Arial" w:hAnsi="Arial" w:hint="default"/>
      </w:rPr>
    </w:lvl>
    <w:lvl w:ilvl="1" w:tplc="2EF83438" w:tentative="1">
      <w:start w:val="1"/>
      <w:numFmt w:val="bullet"/>
      <w:lvlText w:val="•"/>
      <w:lvlJc w:val="left"/>
      <w:pPr>
        <w:tabs>
          <w:tab w:val="num" w:pos="1440"/>
        </w:tabs>
        <w:ind w:left="1440" w:hanging="360"/>
      </w:pPr>
      <w:rPr>
        <w:rFonts w:ascii="Arial" w:hAnsi="Arial" w:hint="default"/>
      </w:rPr>
    </w:lvl>
    <w:lvl w:ilvl="2" w:tplc="D1DA36C0" w:tentative="1">
      <w:start w:val="1"/>
      <w:numFmt w:val="bullet"/>
      <w:lvlText w:val="•"/>
      <w:lvlJc w:val="left"/>
      <w:pPr>
        <w:tabs>
          <w:tab w:val="num" w:pos="2160"/>
        </w:tabs>
        <w:ind w:left="2160" w:hanging="360"/>
      </w:pPr>
      <w:rPr>
        <w:rFonts w:ascii="Arial" w:hAnsi="Arial" w:hint="default"/>
      </w:rPr>
    </w:lvl>
    <w:lvl w:ilvl="3" w:tplc="AFE0A234" w:tentative="1">
      <w:start w:val="1"/>
      <w:numFmt w:val="bullet"/>
      <w:lvlText w:val="•"/>
      <w:lvlJc w:val="left"/>
      <w:pPr>
        <w:tabs>
          <w:tab w:val="num" w:pos="2880"/>
        </w:tabs>
        <w:ind w:left="2880" w:hanging="360"/>
      </w:pPr>
      <w:rPr>
        <w:rFonts w:ascii="Arial" w:hAnsi="Arial" w:hint="default"/>
      </w:rPr>
    </w:lvl>
    <w:lvl w:ilvl="4" w:tplc="2174D1D2" w:tentative="1">
      <w:start w:val="1"/>
      <w:numFmt w:val="bullet"/>
      <w:lvlText w:val="•"/>
      <w:lvlJc w:val="left"/>
      <w:pPr>
        <w:tabs>
          <w:tab w:val="num" w:pos="3600"/>
        </w:tabs>
        <w:ind w:left="3600" w:hanging="360"/>
      </w:pPr>
      <w:rPr>
        <w:rFonts w:ascii="Arial" w:hAnsi="Arial" w:hint="default"/>
      </w:rPr>
    </w:lvl>
    <w:lvl w:ilvl="5" w:tplc="218202F4" w:tentative="1">
      <w:start w:val="1"/>
      <w:numFmt w:val="bullet"/>
      <w:lvlText w:val="•"/>
      <w:lvlJc w:val="left"/>
      <w:pPr>
        <w:tabs>
          <w:tab w:val="num" w:pos="4320"/>
        </w:tabs>
        <w:ind w:left="4320" w:hanging="360"/>
      </w:pPr>
      <w:rPr>
        <w:rFonts w:ascii="Arial" w:hAnsi="Arial" w:hint="default"/>
      </w:rPr>
    </w:lvl>
    <w:lvl w:ilvl="6" w:tplc="AABED5C0" w:tentative="1">
      <w:start w:val="1"/>
      <w:numFmt w:val="bullet"/>
      <w:lvlText w:val="•"/>
      <w:lvlJc w:val="left"/>
      <w:pPr>
        <w:tabs>
          <w:tab w:val="num" w:pos="5040"/>
        </w:tabs>
        <w:ind w:left="5040" w:hanging="360"/>
      </w:pPr>
      <w:rPr>
        <w:rFonts w:ascii="Arial" w:hAnsi="Arial" w:hint="default"/>
      </w:rPr>
    </w:lvl>
    <w:lvl w:ilvl="7" w:tplc="B4F23C78" w:tentative="1">
      <w:start w:val="1"/>
      <w:numFmt w:val="bullet"/>
      <w:lvlText w:val="•"/>
      <w:lvlJc w:val="left"/>
      <w:pPr>
        <w:tabs>
          <w:tab w:val="num" w:pos="5760"/>
        </w:tabs>
        <w:ind w:left="5760" w:hanging="360"/>
      </w:pPr>
      <w:rPr>
        <w:rFonts w:ascii="Arial" w:hAnsi="Arial" w:hint="default"/>
      </w:rPr>
    </w:lvl>
    <w:lvl w:ilvl="8" w:tplc="271CD824" w:tentative="1">
      <w:start w:val="1"/>
      <w:numFmt w:val="bullet"/>
      <w:lvlText w:val="•"/>
      <w:lvlJc w:val="left"/>
      <w:pPr>
        <w:tabs>
          <w:tab w:val="num" w:pos="6480"/>
        </w:tabs>
        <w:ind w:left="6480" w:hanging="360"/>
      </w:pPr>
      <w:rPr>
        <w:rFonts w:ascii="Arial" w:hAnsi="Arial" w:hint="default"/>
      </w:rPr>
    </w:lvl>
  </w:abstractNum>
  <w:num w:numId="1" w16cid:durableId="190247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8A"/>
    <w:rsid w:val="0060228A"/>
    <w:rsid w:val="00BA59A2"/>
    <w:rsid w:val="00D7161A"/>
    <w:rsid w:val="00E370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2E84"/>
  <w15:chartTrackingRefBased/>
  <w15:docId w15:val="{2A9EBE86-041C-4D37-8100-3567DAA2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1789">
      <w:bodyDiv w:val="1"/>
      <w:marLeft w:val="0"/>
      <w:marRight w:val="0"/>
      <w:marTop w:val="0"/>
      <w:marBottom w:val="0"/>
      <w:divBdr>
        <w:top w:val="none" w:sz="0" w:space="0" w:color="auto"/>
        <w:left w:val="none" w:sz="0" w:space="0" w:color="auto"/>
        <w:bottom w:val="none" w:sz="0" w:space="0" w:color="auto"/>
        <w:right w:val="none" w:sz="0" w:space="0" w:color="auto"/>
      </w:divBdr>
    </w:div>
    <w:div w:id="1450274460">
      <w:bodyDiv w:val="1"/>
      <w:marLeft w:val="0"/>
      <w:marRight w:val="0"/>
      <w:marTop w:val="0"/>
      <w:marBottom w:val="0"/>
      <w:divBdr>
        <w:top w:val="none" w:sz="0" w:space="0" w:color="auto"/>
        <w:left w:val="none" w:sz="0" w:space="0" w:color="auto"/>
        <w:bottom w:val="none" w:sz="0" w:space="0" w:color="auto"/>
        <w:right w:val="none" w:sz="0" w:space="0" w:color="auto"/>
      </w:divBdr>
      <w:divsChild>
        <w:div w:id="48459039">
          <w:marLeft w:val="446"/>
          <w:marRight w:val="0"/>
          <w:marTop w:val="0"/>
          <w:marBottom w:val="0"/>
          <w:divBdr>
            <w:top w:val="none" w:sz="0" w:space="0" w:color="auto"/>
            <w:left w:val="none" w:sz="0" w:space="0" w:color="auto"/>
            <w:bottom w:val="none" w:sz="0" w:space="0" w:color="auto"/>
            <w:right w:val="none" w:sz="0" w:space="0" w:color="auto"/>
          </w:divBdr>
        </w:div>
        <w:div w:id="1472795278">
          <w:marLeft w:val="446"/>
          <w:marRight w:val="0"/>
          <w:marTop w:val="0"/>
          <w:marBottom w:val="0"/>
          <w:divBdr>
            <w:top w:val="none" w:sz="0" w:space="0" w:color="auto"/>
            <w:left w:val="none" w:sz="0" w:space="0" w:color="auto"/>
            <w:bottom w:val="none" w:sz="0" w:space="0" w:color="auto"/>
            <w:right w:val="none" w:sz="0" w:space="0" w:color="auto"/>
          </w:divBdr>
        </w:div>
        <w:div w:id="450513966">
          <w:marLeft w:val="446"/>
          <w:marRight w:val="0"/>
          <w:marTop w:val="0"/>
          <w:marBottom w:val="0"/>
          <w:divBdr>
            <w:top w:val="none" w:sz="0" w:space="0" w:color="auto"/>
            <w:left w:val="none" w:sz="0" w:space="0" w:color="auto"/>
            <w:bottom w:val="none" w:sz="0" w:space="0" w:color="auto"/>
            <w:right w:val="none" w:sz="0" w:space="0" w:color="auto"/>
          </w:divBdr>
        </w:div>
        <w:div w:id="1014645766">
          <w:marLeft w:val="446"/>
          <w:marRight w:val="0"/>
          <w:marTop w:val="0"/>
          <w:marBottom w:val="0"/>
          <w:divBdr>
            <w:top w:val="none" w:sz="0" w:space="0" w:color="auto"/>
            <w:left w:val="none" w:sz="0" w:space="0" w:color="auto"/>
            <w:bottom w:val="none" w:sz="0" w:space="0" w:color="auto"/>
            <w:right w:val="none" w:sz="0" w:space="0" w:color="auto"/>
          </w:divBdr>
        </w:div>
        <w:div w:id="1930457689">
          <w:marLeft w:val="446"/>
          <w:marRight w:val="0"/>
          <w:marTop w:val="0"/>
          <w:marBottom w:val="0"/>
          <w:divBdr>
            <w:top w:val="none" w:sz="0" w:space="0" w:color="auto"/>
            <w:left w:val="none" w:sz="0" w:space="0" w:color="auto"/>
            <w:bottom w:val="none" w:sz="0" w:space="0" w:color="auto"/>
            <w:right w:val="none" w:sz="0" w:space="0" w:color="auto"/>
          </w:divBdr>
        </w:div>
        <w:div w:id="997729615">
          <w:marLeft w:val="446"/>
          <w:marRight w:val="0"/>
          <w:marTop w:val="0"/>
          <w:marBottom w:val="0"/>
          <w:divBdr>
            <w:top w:val="none" w:sz="0" w:space="0" w:color="auto"/>
            <w:left w:val="none" w:sz="0" w:space="0" w:color="auto"/>
            <w:bottom w:val="none" w:sz="0" w:space="0" w:color="auto"/>
            <w:right w:val="none" w:sz="0" w:space="0" w:color="auto"/>
          </w:divBdr>
        </w:div>
        <w:div w:id="631980260">
          <w:marLeft w:val="446"/>
          <w:marRight w:val="0"/>
          <w:marTop w:val="0"/>
          <w:marBottom w:val="0"/>
          <w:divBdr>
            <w:top w:val="none" w:sz="0" w:space="0" w:color="auto"/>
            <w:left w:val="none" w:sz="0" w:space="0" w:color="auto"/>
            <w:bottom w:val="none" w:sz="0" w:space="0" w:color="auto"/>
            <w:right w:val="none" w:sz="0" w:space="0" w:color="auto"/>
          </w:divBdr>
        </w:div>
        <w:div w:id="499321710">
          <w:marLeft w:val="446"/>
          <w:marRight w:val="0"/>
          <w:marTop w:val="0"/>
          <w:marBottom w:val="0"/>
          <w:divBdr>
            <w:top w:val="none" w:sz="0" w:space="0" w:color="auto"/>
            <w:left w:val="none" w:sz="0" w:space="0" w:color="auto"/>
            <w:bottom w:val="none" w:sz="0" w:space="0" w:color="auto"/>
            <w:right w:val="none" w:sz="0" w:space="0" w:color="auto"/>
          </w:divBdr>
        </w:div>
        <w:div w:id="108241486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2076</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Jialu He (DTP)</dc:creator>
  <cp:keywords/>
  <dc:description/>
  <cp:lastModifiedBy>Jialu He (DTP)</cp:lastModifiedBy>
  <cp:revision>3</cp:revision>
  <dcterms:created xsi:type="dcterms:W3CDTF">2023-07-13T03:20:00Z</dcterms:created>
  <dcterms:modified xsi:type="dcterms:W3CDTF">2023-07-19T03:04:00Z</dcterms:modified>
</cp:coreProperties>
</file>