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F80EB" w14:textId="77777777" w:rsidR="00EC6686" w:rsidRDefault="00FE4A3F">
      <w:r>
        <w:rPr>
          <w:b/>
        </w:rPr>
        <w:t>Log Ingestion API – Customer Deployment Guide</w:t>
      </w:r>
    </w:p>
    <w:p w14:paraId="4011B2A1" w14:textId="77777777" w:rsidR="00EC6686" w:rsidRDefault="00FE4A3F">
      <w:r>
        <w:t>This guide documents an end-to-end customer-run deployment using the EnhancedInventoryDeploy Bicep template plus the provided ingestion scripts.</w:t>
      </w:r>
    </w:p>
    <w:p w14:paraId="01FE9CB0" w14:textId="77777777" w:rsidR="00EC6686" w:rsidRDefault="00FE4A3F">
      <w:pPr>
        <w:pStyle w:val="Heading1"/>
      </w:pPr>
      <w:r>
        <w:t>Before you begin</w:t>
      </w:r>
    </w:p>
    <w:p w14:paraId="1FCDC962" w14:textId="77777777" w:rsidR="00EC6686" w:rsidRDefault="00FE4A3F">
      <w:r>
        <w:rPr>
          <w:b/>
        </w:rPr>
        <w:t xml:space="preserve">Required Azure permissions: </w:t>
      </w:r>
      <w:r>
        <w:t>Contributor (or Owner) on the target subscription or resource group, plus permission to create role assignments (User Access Administrator or Owner).</w:t>
      </w:r>
    </w:p>
    <w:p w14:paraId="34B365FC" w14:textId="77777777" w:rsidR="00EC6686" w:rsidRDefault="00FE4A3F">
      <w:r>
        <w:rPr>
          <w:b/>
        </w:rPr>
        <w:t xml:space="preserve">Required Microsoft Entra permissions: </w:t>
      </w:r>
      <w:r>
        <w:t>Ability to create an App registration (Application Administrator or Global Administrator).</w:t>
      </w:r>
    </w:p>
    <w:p w14:paraId="615C338F" w14:textId="77777777" w:rsidR="00EC6686" w:rsidRDefault="00FE4A3F">
      <w:r>
        <w:rPr>
          <w:b/>
        </w:rPr>
        <w:t xml:space="preserve">Tools: </w:t>
      </w:r>
      <w:r>
        <w:t>Azure CLI (recommended) or Az PowerShell, and PowerShell (Windows PowerShell 5.1+ or PowerShell 7+).</w:t>
      </w:r>
    </w:p>
    <w:p w14:paraId="2932EBF0" w14:textId="77777777" w:rsidR="00EC6686" w:rsidRDefault="00FE4A3F">
      <w:pPr>
        <w:pStyle w:val="Heading1"/>
      </w:pPr>
      <w:r>
        <w:t>Step 1 – Create the Microsoft Entra application (App registration)</w:t>
      </w:r>
    </w:p>
    <w:p w14:paraId="21921AC0" w14:textId="77777777" w:rsidR="00EC6686" w:rsidRDefault="00FE4A3F">
      <w:r>
        <w:t>Create a new App registration in the customer tenant. This identity will authenticate to the Logs Ingestion API.</w:t>
      </w:r>
    </w:p>
    <w:p w14:paraId="7D18F2F1" w14:textId="77777777" w:rsidR="00EC6686" w:rsidRDefault="00FE4A3F">
      <w:r>
        <w:t>Capture these values and store them securely:</w:t>
      </w:r>
    </w:p>
    <w:p w14:paraId="412CF46C" w14:textId="77777777" w:rsidR="00EC6686" w:rsidRDefault="00FE4A3F">
      <w:pPr>
        <w:pStyle w:val="ListBullet"/>
      </w:pPr>
      <w:r>
        <w:t>Tenant ID</w:t>
      </w:r>
    </w:p>
    <w:p w14:paraId="74A9AA39" w14:textId="77777777" w:rsidR="00EC6686" w:rsidRDefault="00FE4A3F">
      <w:pPr>
        <w:pStyle w:val="ListBullet"/>
      </w:pPr>
      <w:r>
        <w:t>Application (client) ID</w:t>
      </w:r>
    </w:p>
    <w:p w14:paraId="2BF4487D" w14:textId="77777777" w:rsidR="00EC6686" w:rsidRDefault="00FE4A3F">
      <w:pPr>
        <w:pStyle w:val="ListBullet"/>
      </w:pPr>
      <w:r>
        <w:t>Client secret value (shown only once)</w:t>
      </w:r>
    </w:p>
    <w:p w14:paraId="558DBFF2" w14:textId="77777777" w:rsidR="00EC6686" w:rsidRDefault="00FE4A3F">
      <w:r>
        <w:t>Important: For Azure RBAC you must use the Service Principal object ID (Enterprise application object ID), not the Application (client) ID.</w:t>
      </w:r>
    </w:p>
    <w:p w14:paraId="3A098D44" w14:textId="77777777" w:rsidR="00EC6686" w:rsidRDefault="00FE4A3F">
      <w:pPr>
        <w:pStyle w:val="Heading2"/>
      </w:pPr>
      <w:r>
        <w:t>Step 1a – Get the Service Principal object ID (servicePrincipalObjectId)</w:t>
      </w:r>
    </w:p>
    <w:p w14:paraId="1B7D4831" w14:textId="77777777" w:rsidR="00EC6686" w:rsidRDefault="00FE4A3F">
      <w:r>
        <w:t>You can obtain the Service Principal object ID using any of the following methods:</w:t>
      </w:r>
    </w:p>
    <w:p w14:paraId="30473527" w14:textId="77777777" w:rsidR="00EC6686" w:rsidRDefault="00FE4A3F">
      <w:r>
        <w:t>Option A (Azure CLI):</w:t>
      </w:r>
    </w:p>
    <w:p w14:paraId="36CED93C" w14:textId="77777777" w:rsidR="00EC6686" w:rsidRDefault="00FE4A3F">
      <w:r>
        <w:rPr>
          <w:rFonts w:ascii="Consolas" w:hAnsi="Consolas"/>
          <w:sz w:val="20"/>
        </w:rPr>
        <w:t>az ad sp show --id &lt;ApplicationClientId&gt; --query id -o tsv</w:t>
      </w:r>
    </w:p>
    <w:p w14:paraId="387091E3" w14:textId="77777777" w:rsidR="00EC6686" w:rsidRDefault="00FE4A3F">
      <w:r>
        <w:t>Option B (Az PowerShell):</w:t>
      </w:r>
    </w:p>
    <w:p w14:paraId="5199890E" w14:textId="77777777" w:rsidR="00EC6686" w:rsidRDefault="00FE4A3F">
      <w:r>
        <w:rPr>
          <w:rFonts w:ascii="Consolas" w:hAnsi="Consolas"/>
          <w:sz w:val="20"/>
        </w:rPr>
        <w:t>Get-AzADServicePrincipal -ApplicationId &lt;ApplicationClientId&gt; | Select-Object -ExpandProperty Id</w:t>
      </w:r>
    </w:p>
    <w:p w14:paraId="0A2BC4E4" w14:textId="77777777" w:rsidR="00EC6686" w:rsidRDefault="00FE4A3F">
      <w:r>
        <w:t>Option C (Portal): Microsoft Entra admin center → Enterprise applications → find the app → copy the Object ID.</w:t>
      </w:r>
    </w:p>
    <w:p w14:paraId="4C2D1A65" w14:textId="77777777" w:rsidR="00EC6686" w:rsidRDefault="00FE4A3F">
      <w:r>
        <w:t>Save the output as: servicePrincipalObjectId (GUID).</w:t>
      </w:r>
    </w:p>
    <w:p w14:paraId="795A7E0A" w14:textId="77777777" w:rsidR="00EC6686" w:rsidRDefault="00FE4A3F">
      <w:pPr>
        <w:pStyle w:val="Heading1"/>
      </w:pPr>
      <w:r>
        <w:lastRenderedPageBreak/>
        <w:t>Step 2 – Deploy Azure resources with Bicep (EnhancedInventoryDeploy)</w:t>
      </w:r>
    </w:p>
    <w:p w14:paraId="1FA22E4F" w14:textId="77777777" w:rsidR="00EC6686" w:rsidRDefault="00FE4A3F">
      <w:r>
        <w:t>Deploy the infrastructure from the GitHub repo: EnhancedInventoryDeploy/infra. The deployment creates the Log Analytics workspace, DCE, DCR, and custom table(s).</w:t>
      </w:r>
    </w:p>
    <w:p w14:paraId="2BD75D19" w14:textId="77777777" w:rsidR="00EC6686" w:rsidRDefault="00FE4A3F">
      <w:r>
        <w:t>You will be prompted for (or must provide) servicePrincipalObjectId. This is required so Bicep can create the RBAC role assignment on the DCR.</w:t>
      </w:r>
    </w:p>
    <w:p w14:paraId="001B5E1B" w14:textId="77777777" w:rsidR="00EC6686" w:rsidRDefault="00FE4A3F">
      <w:pPr>
        <w:pStyle w:val="Heading2"/>
      </w:pPr>
      <w:r>
        <w:t>Azure CLI example</w:t>
      </w:r>
    </w:p>
    <w:p w14:paraId="34F5D301" w14:textId="77777777" w:rsidR="00EC6686" w:rsidRDefault="00FE4A3F">
      <w:r>
        <w:rPr>
          <w:rFonts w:ascii="Consolas" w:hAnsi="Consolas"/>
          <w:sz w:val="20"/>
        </w:rPr>
        <w:t>az deployment group create ^</w:t>
      </w:r>
      <w:r>
        <w:rPr>
          <w:rFonts w:ascii="Consolas" w:hAnsi="Consolas"/>
          <w:sz w:val="20"/>
        </w:rPr>
        <w:br/>
        <w:t xml:space="preserve">  --resource-group &lt;ResourceGroupName&gt; ^</w:t>
      </w:r>
      <w:r>
        <w:rPr>
          <w:rFonts w:ascii="Consolas" w:hAnsi="Consolas"/>
          <w:sz w:val="20"/>
        </w:rPr>
        <w:br/>
        <w:t xml:space="preserve">  --template-file main.bicep ^</w:t>
      </w:r>
      <w:r>
        <w:rPr>
          <w:rFonts w:ascii="Consolas" w:hAnsi="Consolas"/>
          <w:sz w:val="20"/>
        </w:rPr>
        <w:br/>
        <w:t xml:space="preserve">  --parameters servicePrincipalObjectId=&lt;GUID&gt;</w:t>
      </w:r>
    </w:p>
    <w:p w14:paraId="55AC92BF" w14:textId="77777777" w:rsidR="00EC6686" w:rsidRDefault="00FE4A3F">
      <w:r>
        <w:t>After deployment, record the outputs:</w:t>
      </w:r>
    </w:p>
    <w:p w14:paraId="58869941" w14:textId="77777777" w:rsidR="00EC6686" w:rsidRDefault="00FE4A3F">
      <w:pPr>
        <w:pStyle w:val="ListBullet"/>
      </w:pPr>
      <w:r>
        <w:t>DCE URI</w:t>
      </w:r>
    </w:p>
    <w:p w14:paraId="3EB233B9" w14:textId="77777777" w:rsidR="00EC6686" w:rsidRDefault="00FE4A3F">
      <w:pPr>
        <w:pStyle w:val="ListBullet"/>
      </w:pPr>
      <w:r>
        <w:t>DCR Immutable ID</w:t>
      </w:r>
    </w:p>
    <w:p w14:paraId="55770344" w14:textId="77777777" w:rsidR="00EC6686" w:rsidRDefault="00FE4A3F">
      <w:pPr>
        <w:pStyle w:val="ListBullet"/>
      </w:pPr>
      <w:r>
        <w:t>Custom table name(s) / stream name(s) (if shown as outputs)</w:t>
      </w:r>
    </w:p>
    <w:p w14:paraId="51C53758" w14:textId="77777777" w:rsidR="00EC6686" w:rsidRDefault="00FE4A3F">
      <w:pPr>
        <w:pStyle w:val="Heading1"/>
      </w:pPr>
      <w:r>
        <w:t>Step 3 – RBAC assignment (now performed by Bicep)</w:t>
      </w:r>
    </w:p>
    <w:p w14:paraId="15E91D89" w14:textId="77777777" w:rsidR="00EC6686" w:rsidRDefault="00FE4A3F">
      <w:r>
        <w:t>The Bicep template assigns the built-in role Monitoring Metrics Publisher to the service principal at the Data Collection Rule (DCR) scope. This role includes the permission required for ingestion (Microsoft.Insights/Telemetry/Write).</w:t>
      </w:r>
    </w:p>
    <w:p w14:paraId="2B1EE032" w14:textId="77777777" w:rsidR="00EC6686" w:rsidRDefault="00FE4A3F">
      <w:pPr>
        <w:pStyle w:val="Heading1"/>
      </w:pPr>
      <w:r>
        <w:t>Step 4 – Validate and ingest data</w:t>
      </w:r>
    </w:p>
    <w:p w14:paraId="5A8BA652" w14:textId="77777777" w:rsidR="00EC6686" w:rsidRDefault="00FE4A3F">
      <w:r>
        <w:t>Optional validation:</w:t>
      </w:r>
    </w:p>
    <w:p w14:paraId="3A786E8F" w14:textId="77777777" w:rsidR="00EC6686" w:rsidRDefault="00FE4A3F">
      <w:pPr>
        <w:pStyle w:val="ListBullet"/>
      </w:pPr>
      <w:r>
        <w:t>Run LogIngestionAPI_CheckDCR_v2.0.txt to confirm the DCR exists and is configured as expected.</w:t>
      </w:r>
    </w:p>
    <w:p w14:paraId="39362477" w14:textId="77777777" w:rsidR="00EC6686" w:rsidRDefault="00FE4A3F">
      <w:r>
        <w:t>Ingestion:</w:t>
      </w:r>
    </w:p>
    <w:p w14:paraId="6D21ABC4" w14:textId="77777777" w:rsidR="00EC6686" w:rsidRDefault="00FE4A3F">
      <w:pPr>
        <w:pStyle w:val="ListBullet"/>
      </w:pPr>
      <w:r>
        <w:t>Windows: LoIngestionAPI_Windows_Custom_Inventory_v2.0.txt</w:t>
      </w:r>
    </w:p>
    <w:p w14:paraId="3FC7636E" w14:textId="77777777" w:rsidR="00EC6686" w:rsidRDefault="00FE4A3F">
      <w:pPr>
        <w:pStyle w:val="ListBullet"/>
      </w:pPr>
      <w:r>
        <w:t>macOS: LogIngestionAPI_Mac_Custom_Inventory_v2.0.txt</w:t>
      </w:r>
    </w:p>
    <w:p w14:paraId="5F3E5C15" w14:textId="77777777" w:rsidR="00EC6686" w:rsidRDefault="00FE4A3F">
      <w:r>
        <w:t>Configure the ingestion scripts with:</w:t>
      </w:r>
    </w:p>
    <w:p w14:paraId="765F8BC2" w14:textId="77777777" w:rsidR="00EC6686" w:rsidRDefault="00FE4A3F">
      <w:pPr>
        <w:pStyle w:val="ListBullet"/>
      </w:pPr>
      <w:r>
        <w:t>Tenant ID</w:t>
      </w:r>
    </w:p>
    <w:p w14:paraId="4A819487" w14:textId="77777777" w:rsidR="00EC6686" w:rsidRDefault="00FE4A3F">
      <w:pPr>
        <w:pStyle w:val="ListBullet"/>
      </w:pPr>
      <w:r>
        <w:t>Application (client) ID</w:t>
      </w:r>
    </w:p>
    <w:p w14:paraId="682BCD0B" w14:textId="77777777" w:rsidR="00EC6686" w:rsidRDefault="00FE4A3F">
      <w:pPr>
        <w:pStyle w:val="ListBullet"/>
      </w:pPr>
      <w:r>
        <w:t>Client secret</w:t>
      </w:r>
    </w:p>
    <w:p w14:paraId="7365FC34" w14:textId="77777777" w:rsidR="00EC6686" w:rsidRDefault="00FE4A3F">
      <w:pPr>
        <w:pStyle w:val="ListBullet"/>
      </w:pPr>
      <w:r>
        <w:t>DCE URI</w:t>
      </w:r>
    </w:p>
    <w:p w14:paraId="2A895599" w14:textId="77777777" w:rsidR="00EC6686" w:rsidRDefault="00FE4A3F">
      <w:pPr>
        <w:pStyle w:val="ListBullet"/>
      </w:pPr>
      <w:r>
        <w:t>DCR Immutable ID</w:t>
      </w:r>
    </w:p>
    <w:p w14:paraId="71A5880D" w14:textId="77777777" w:rsidR="00EC6686" w:rsidRDefault="00FE4A3F">
      <w:pPr>
        <w:pStyle w:val="Heading1"/>
      </w:pPr>
      <w:r>
        <w:lastRenderedPageBreak/>
        <w:t>Notes for migrations from the legacy Data Collector API</w:t>
      </w:r>
    </w:p>
    <w:p w14:paraId="766140C6" w14:textId="77777777" w:rsidR="00EC6686" w:rsidRDefault="00FE4A3F">
      <w:r>
        <w:t>If migrating from the Data Collector API, you can run the new ingestion in parallel while the legacy pipeline continues to function, then cut over once validated.</w:t>
      </w:r>
    </w:p>
    <w:sectPr w:rsidR="00EC66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786948">
    <w:abstractNumId w:val="8"/>
  </w:num>
  <w:num w:numId="2" w16cid:durableId="1988512079">
    <w:abstractNumId w:val="6"/>
  </w:num>
  <w:num w:numId="3" w16cid:durableId="943420408">
    <w:abstractNumId w:val="5"/>
  </w:num>
  <w:num w:numId="4" w16cid:durableId="1867675353">
    <w:abstractNumId w:val="4"/>
  </w:num>
  <w:num w:numId="5" w16cid:durableId="2031177209">
    <w:abstractNumId w:val="7"/>
  </w:num>
  <w:num w:numId="6" w16cid:durableId="61098900">
    <w:abstractNumId w:val="3"/>
  </w:num>
  <w:num w:numId="7" w16cid:durableId="1195339965">
    <w:abstractNumId w:val="2"/>
  </w:num>
  <w:num w:numId="8" w16cid:durableId="803472688">
    <w:abstractNumId w:val="1"/>
  </w:num>
  <w:num w:numId="9" w16cid:durableId="1851144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C6686"/>
    <w:rsid w:val="00F73DB5"/>
    <w:rsid w:val="00FC693F"/>
    <w:rsid w:val="00FE4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D023911-E00C-4C18-85FF-495DF6802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467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Marcum</cp:lastModifiedBy>
  <cp:revision>2</cp:revision>
  <dcterms:created xsi:type="dcterms:W3CDTF">2025-12-17T23:01:00Z</dcterms:created>
  <dcterms:modified xsi:type="dcterms:W3CDTF">2025-12-17T23:01:00Z</dcterms:modified>
  <cp:category/>
</cp:coreProperties>
</file>