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="001A422F" w:rsidRPr="00CD171A">
              <w:rPr>
                <w:rFonts w:ascii="Century Schoolbook" w:eastAsia="等线" w:hAnsi="Century Schoolbook"/>
                <w:color w:val="000000"/>
              </w:rPr>
              <w:t>|</w:t>
            </w:r>
            <w:r w:rsidR="001A422F" w:rsidRPr="00CD171A">
              <w:rPr>
                <w:rFonts w:ascii="Century Schoolbook" w:hAnsi="Century Schoolbook"/>
              </w:rPr>
              <w:t xml:space="preserve"> thirdparty_coupon_model</w:t>
            </w:r>
            <w:r w:rsidR="006B73EF" w:rsidRPr="00CD171A">
              <w:rPr>
                <w:rFonts w:ascii="Century Schoolbook" w:hAnsi="Century Schoolbook"/>
              </w:rPr>
              <w:t>表</w:t>
            </w:r>
            <w:r w:rsidR="006B73EF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bookmarkStart w:id="0" w:name="_GoBack"/>
            <w:bookmarkEnd w:id="0"/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362D4" w:rsidRPr="00CD171A" w:rsidRDefault="002362D4" w:rsidP="002362D4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000" w:rsidRDefault="00E31000" w:rsidP="006E5044">
      <w:r>
        <w:separator/>
      </w:r>
    </w:p>
  </w:endnote>
  <w:endnote w:type="continuationSeparator" w:id="0">
    <w:p w:rsidR="00E31000" w:rsidRDefault="00E31000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000" w:rsidRDefault="00E31000" w:rsidP="006E5044">
      <w:r>
        <w:separator/>
      </w:r>
    </w:p>
  </w:footnote>
  <w:footnote w:type="continuationSeparator" w:id="0">
    <w:p w:rsidR="00E31000" w:rsidRDefault="00E31000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FE840-46B2-4598-A59B-6D00B384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3999</TotalTime>
  <Pages>32</Pages>
  <Words>7757</Words>
  <Characters>44216</Characters>
  <Application>Microsoft Office Word</Application>
  <DocSecurity>0</DocSecurity>
  <Lines>368</Lines>
  <Paragraphs>103</Paragraphs>
  <ScaleCrop>false</ScaleCrop>
  <Company/>
  <LinksUpToDate>false</LinksUpToDate>
  <CharactersWithSpaces>51870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734</cp:revision>
  <dcterms:created xsi:type="dcterms:W3CDTF">2018-04-18T02:03:00Z</dcterms:created>
  <dcterms:modified xsi:type="dcterms:W3CDTF">2018-05-10T07:27:00Z</dcterms:modified>
</cp:coreProperties>
</file>