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区域计价需求文档</w:t>
      </w:r>
    </w:p>
    <w:p>
      <w:pPr>
        <w:jc w:val="center"/>
      </w:pPr>
    </w:p>
    <w:p>
      <w:pPr>
        <w:jc w:val="center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693"/>
        <w:gridCol w:w="1559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北京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庞大叮叮汽车租赁有限公司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文档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编号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产品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版本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密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68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产品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名称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：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区域计价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共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页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szCs w:val="24"/>
        </w:rPr>
      </w:pPr>
      <w:r>
        <w:rPr>
          <w:rFonts w:hint="eastAsia"/>
          <w:szCs w:val="24"/>
          <w:lang w:val="en-US" w:eastAsia="zh-CN"/>
        </w:rPr>
        <w:t xml:space="preserve">                               </w:t>
      </w:r>
      <w:r>
        <w:rPr>
          <w:rFonts w:hint="eastAsia"/>
          <w:szCs w:val="24"/>
        </w:rPr>
        <w:t>（仅供内部使用）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文档作者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：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渠飞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日期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：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2017年11月8日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说明书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校对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：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渠飞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日期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：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2017年11月8日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产品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经理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：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渠飞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日期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：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2017年11月8日</w:t>
            </w:r>
          </w:p>
        </w:tc>
      </w:tr>
    </w:tbl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</w:p>
    <w:p>
      <w:pPr>
        <w:jc w:val="center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北京庞大</w:t>
      </w:r>
      <w:r>
        <w:rPr>
          <w:rFonts w:asciiTheme="minorEastAsia" w:hAnsiTheme="minorEastAsia" w:eastAsiaTheme="minorEastAsia"/>
          <w:b/>
          <w:sz w:val="28"/>
          <w:szCs w:val="28"/>
        </w:rPr>
        <w:t>叮叮汽车租赁有限公司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版权所有 不得复制</w:t>
      </w:r>
    </w:p>
    <w:p>
      <w:pPr>
        <w:jc w:val="center"/>
      </w:pPr>
    </w:p>
    <w:p>
      <w:pPr>
        <w:jc w:val="left"/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修订记录</w:t>
      </w:r>
    </w:p>
    <w:tbl>
      <w:tblPr>
        <w:tblStyle w:val="7"/>
        <w:tblW w:w="8300" w:type="dxa"/>
        <w:tblInd w:w="-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440"/>
        <w:gridCol w:w="1440"/>
        <w:gridCol w:w="4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297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修订日期</w:t>
            </w:r>
          </w:p>
        </w:tc>
        <w:tc>
          <w:tcPr>
            <w:tcW w:w="4123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23" w:type="dxa"/>
            <w:vAlign w:val="center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4"/>
              <w:spacing w:before="0" w:beforeLines="0" w:after="0" w:afterLines="0"/>
              <w:jc w:val="center"/>
              <w:rPr>
                <w:rFonts w:ascii="Arial" w:hAnsi="Arial" w:cs="Arial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23" w:type="dxa"/>
            <w:vAlign w:val="center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23" w:type="dxa"/>
            <w:vAlign w:val="center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23" w:type="dxa"/>
            <w:vAlign w:val="center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cs="Arial"/>
          <w:i/>
          <w:color w:val="0000FF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Arial" w:hAnsi="Arial" w:cs="Arial"/>
          <w:i w:val="0"/>
          <w:iCs/>
          <w:color w:val="000000" w:themeColor="text1"/>
          <w14:textFill>
            <w14:solidFill>
              <w14:schemeClr w14:val="tx1"/>
            </w14:solidFill>
          </w14:textFill>
        </w:rPr>
        <w:t>本文档主要定义功能详细描述和前端页面的各个模块的内容和逻辑。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根据实际运营情况，需增加已开通城市的部分区域单独计价功能。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i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i/>
          <w:color w:val="0000FF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iCs/>
          <w:color w:val="000000" w:themeColor="text1"/>
          <w14:textFill>
            <w14:solidFill>
              <w14:schemeClr w14:val="tx1"/>
            </w14:solidFill>
          </w14:textFill>
        </w:rPr>
        <w:t>此文档主要描述前端页面涉及到的功能点、相对应的后台管理功能支持、以及部分交互细节。本文档主要读者为技术部门的前端工程师，以及视觉部门的视觉设计。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i/>
          <w:color w:val="0000FF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eastAsia="zh-CN"/>
        </w:rPr>
      </w:pPr>
      <w:r>
        <w:rPr>
          <w:rFonts w:hint="eastAsia" w:ascii="Arial" w:hAnsi="Arial" w:cs="Arial"/>
          <w:b/>
          <w:bCs/>
          <w:i w:val="0"/>
          <w:iCs/>
          <w:color w:val="auto"/>
          <w:lang w:eastAsia="zh-CN"/>
        </w:rPr>
        <w:t>产品说明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  <w:t>流程图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866640" cy="923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  <w:t>功能摘要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39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0C0C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城市管理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列表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查询</w:t>
            </w: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添加城市</w:t>
            </w:r>
          </w:p>
        </w:tc>
        <w:tc>
          <w:tcPr>
            <w:tcW w:w="226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操作（启禁用）</w:t>
            </w:r>
          </w:p>
        </w:tc>
        <w:tc>
          <w:tcPr>
            <w:tcW w:w="226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计价管理</w:t>
            </w: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城市计价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列表</w:t>
            </w:r>
          </w:p>
        </w:tc>
        <w:tc>
          <w:tcPr>
            <w:tcW w:w="226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查询</w:t>
            </w:r>
          </w:p>
        </w:tc>
        <w:tc>
          <w:tcPr>
            <w:tcW w:w="226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添加计价</w:t>
            </w:r>
          </w:p>
        </w:tc>
        <w:tc>
          <w:tcPr>
            <w:tcW w:w="226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操作（编辑、启禁用）</w:t>
            </w:r>
          </w:p>
        </w:tc>
        <w:tc>
          <w:tcPr>
            <w:tcW w:w="226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计价管理</w:t>
            </w: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区域计价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列表</w:t>
            </w: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查询</w:t>
            </w: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添加计价</w:t>
            </w: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lang w:eastAsia="zh-CN"/>
              </w:rPr>
              <w:t>操作（编辑、启禁用）</w:t>
            </w: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  <w:t>需求说明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  <w:t>3.1城市管理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  <w:t>3.1.1城市管理-列表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418455" cy="394589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新开通城市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运营城市的查询、维护、新增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登陆配置后台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新增开通城市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已开通城市维护，启用禁用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新增并启用状态后，该城市可以运营；未添加或禁用后，该城市无法运营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新增开通城市后，数据字典新增，所以应显示已开通城市的信息需更新（运营后台、配置后台、监控后台）</w:t>
            </w:r>
          </w:p>
          <w:p>
            <w:pPr>
              <w:numPr>
                <w:ilvl w:val="0"/>
                <w:numId w:val="6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新增开通城市后，客户端首页城市选择不影响</w:t>
            </w:r>
          </w:p>
          <w:p>
            <w:pPr>
              <w:numPr>
                <w:ilvl w:val="0"/>
                <w:numId w:val="6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新增开通城市后，可以进行叫车，并进行派单，反之不可</w:t>
            </w:r>
          </w:p>
          <w:p>
            <w:pPr>
              <w:numPr>
                <w:ilvl w:val="0"/>
                <w:numId w:val="6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新增开通城市后，监控平台可选改城市车辆监控信息</w:t>
            </w:r>
          </w:p>
          <w:p>
            <w:pPr>
              <w:numPr>
                <w:ilvl w:val="0"/>
                <w:numId w:val="6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新增开通城市后，司机注册时可选城市更新（APP，扫码web，后台添加）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2"/>
        <w:gridCol w:w="2088"/>
        <w:gridCol w:w="1415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字段项</w:t>
            </w:r>
          </w:p>
        </w:tc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规则</w:t>
            </w:r>
          </w:p>
        </w:tc>
        <w:tc>
          <w:tcPr>
            <w:tcW w:w="1415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交互</w:t>
            </w:r>
          </w:p>
        </w:tc>
        <w:tc>
          <w:tcPr>
            <w:tcW w:w="1753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查询-省/直辖市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已有开通城市的省份可见、可选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查询-城市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根据已选【省/直辖市】二级联动，已开通城市可见、可选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点击查询已选条件结果</w:t>
            </w: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添加城市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点击弹出【添加城市】弹框</w:t>
            </w: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列表-省/直辖市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-</w:t>
            </w:r>
          </w:p>
        </w:tc>
        <w:tc>
          <w:tcPr>
            <w:tcW w:w="2088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根据添加内容显示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列表-城市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-</w:t>
            </w: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-</w:t>
            </w: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操作-启禁用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新增默认为禁用状态，启用后生效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点击【禁用】二次弹框确认</w:t>
            </w: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/>
          <w:color w:val="auto"/>
          <w:lang w:val="en-US" w:eastAsia="zh-CN"/>
        </w:rPr>
        <w:t>3.1.2城市管理-添加城市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141345"/>
            <wp:effectExtent l="0" t="0" r="635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新开通城市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创建新开通城市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登陆配置后台，点击【添加城市】按钮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1、创建新城市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新增城市后默认禁用状态，启用后生效</w:t>
            </w:r>
          </w:p>
          <w:p>
            <w:pPr>
              <w:numPr>
                <w:ilvl w:val="0"/>
                <w:numId w:val="7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列表可查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1、已存在城市不可添加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2"/>
        <w:gridCol w:w="2088"/>
        <w:gridCol w:w="1415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字段项</w:t>
            </w:r>
          </w:p>
        </w:tc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规则</w:t>
            </w:r>
          </w:p>
        </w:tc>
        <w:tc>
          <w:tcPr>
            <w:tcW w:w="1415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交互</w:t>
            </w:r>
          </w:p>
        </w:tc>
        <w:tc>
          <w:tcPr>
            <w:tcW w:w="1753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省/直辖市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全部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城市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根据已选【省/直辖市】二级联动，显示全部城市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字数无限制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保存后创建，关闭弹窗，返回列表并刷新页面</w:t>
            </w: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新增城市后默认禁用状态，启用后生效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1475" cy="295275"/>
                  <wp:effectExtent l="0" t="0" r="952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点击后关闭弹窗，返回列表，不刷新页面</w:t>
            </w: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3.2计价管理-城市计价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3.2.1计价管理-城市计价-列表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3966210"/>
            <wp:effectExtent l="0" t="0" r="952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根据开通城市维护城市计价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已开通城市计价的查询、维护、新增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登陆配置后台</w:t>
            </w:r>
          </w:p>
          <w:p>
            <w:pPr>
              <w:numPr>
                <w:ilvl w:val="0"/>
                <w:numId w:val="8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当前城市已开通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9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添加新增城市计价</w:t>
            </w:r>
          </w:p>
          <w:p>
            <w:pPr>
              <w:numPr>
                <w:ilvl w:val="0"/>
                <w:numId w:val="9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编辑已设置计价城市</w:t>
            </w:r>
          </w:p>
          <w:p>
            <w:pPr>
              <w:numPr>
                <w:ilvl w:val="0"/>
                <w:numId w:val="9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编辑、查询、维护已设置计价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新增城市计价后默认禁用状态，启用后生效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列表可查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启用计价并启用开通城市后，客户端根据显示规则显示</w:t>
            </w:r>
          </w:p>
          <w:p>
            <w:pPr>
              <w:numPr>
                <w:ilvl w:val="0"/>
                <w:numId w:val="1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编辑计价数据回显</w:t>
            </w:r>
          </w:p>
          <w:p>
            <w:pPr>
              <w:numPr>
                <w:ilvl w:val="0"/>
                <w:numId w:val="1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计价不可删除，只可编辑或启禁用</w:t>
            </w:r>
          </w:p>
          <w:p>
            <w:pPr>
              <w:numPr>
                <w:ilvl w:val="0"/>
                <w:numId w:val="1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只可配置已开通城市计价，未开通不能配置，配置计价城市和启用/禁用无关，只要城市存在于城市列表，即可配置计价</w:t>
            </w:r>
          </w:p>
          <w:p>
            <w:pPr>
              <w:numPr>
                <w:ilvl w:val="0"/>
                <w:numId w:val="1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当前城市，有且只能有1个车型计价，无法重复添加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2"/>
        <w:gridCol w:w="2088"/>
        <w:gridCol w:w="1415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字段项</w:t>
            </w:r>
          </w:p>
        </w:tc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规则</w:t>
            </w:r>
          </w:p>
        </w:tc>
        <w:tc>
          <w:tcPr>
            <w:tcW w:w="1415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交互</w:t>
            </w:r>
          </w:p>
        </w:tc>
        <w:tc>
          <w:tcPr>
            <w:tcW w:w="1753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查询-省/直辖市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已有开通城市的省份可见、可选</w:t>
            </w: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查询-城市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根据已选【省/直辖市】二级联动，已开通城市可见、可选</w:t>
            </w: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查询-车型选择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畅享型、乐享型、尊享型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添加计价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点击弹出【添加计价】弹窗</w:t>
            </w: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列表-省/直辖市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根据添加实际内容显示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列表-城市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列表-车型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列表-起步价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列表-里程费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每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0.1公里计费一次，不足0.1按0.1计算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列表-时长费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不足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1分钟按1分钟加收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列表-远途费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列表-夜间费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操作-编辑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操作-启/禁用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新增默认为禁用状态，启用后生效</w:t>
            </w: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点击【禁用】二次弹框确认</w:t>
            </w: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3.2.2计价管理-城市计价-添加计价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4041775"/>
            <wp:effectExtent l="0" t="0" r="6350" b="1587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根据开通城市设置城市计价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已开通城市计价的新增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1、登录</w:t>
            </w:r>
            <w:r>
              <w:rPr>
                <w:rFonts w:hint="eastAsia" w:ascii="Arial" w:hAnsi="Arial" w:cs="Arial"/>
                <w:sz w:val="18"/>
                <w:lang w:eastAsia="zh-CN"/>
              </w:rPr>
              <w:t>配置后台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当前城市已开通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1、添加新增城市计价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新增城市计价后默认禁用状态，启用后生效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列表可查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1、启用计价并启用开通城市后，客户端根据显示规则显示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2、只可配置已开通城市计价，未开通不能配置，配置计价城市和启用/禁用无关，只要城市存在于城市列表，即可配置计价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3、当前城市，有且只能有1个车型计价，无法重复添加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2"/>
        <w:gridCol w:w="2088"/>
        <w:gridCol w:w="1415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字段项</w:t>
            </w:r>
          </w:p>
        </w:tc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规则</w:t>
            </w:r>
          </w:p>
        </w:tc>
        <w:tc>
          <w:tcPr>
            <w:tcW w:w="1415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交互</w:t>
            </w:r>
          </w:p>
        </w:tc>
        <w:tc>
          <w:tcPr>
            <w:tcW w:w="1753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省/直辖市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已有开通城市的省份可见、可选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城市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根据已选【省/直辖市】二级联动，已开通城市可见、可选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车型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畅享型、乐享型、尊享型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起步价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包含公里数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起步价包含的公里数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里程费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单位：元/公里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每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0.1公里计费一次，不足0.1按0.1计算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时长费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单位：元/公里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不足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1分钟按1分钟加收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远途费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单位：元/公里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远途费起步里程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夜间费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单位：元/公里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夜间时长起止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时间选择器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保存后创建，关闭弹窗，返回列表并刷新页面</w:t>
            </w: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新增城市计价后默认禁用状态，启用后生效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9575" cy="361950"/>
                  <wp:effectExtent l="0" t="0" r="9525" b="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点击后关闭弹窗，返回列表，不刷新页面</w:t>
            </w: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3.2.3计价管理-城市计价-编辑</w:t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编辑已有城市计价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编辑已有城市计价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编辑城市计价，数据回显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编辑并保存后计价生效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列表可查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城市、车型信息无法编辑</w:t>
            </w:r>
          </w:p>
          <w:p>
            <w:pPr>
              <w:numPr>
                <w:ilvl w:val="0"/>
                <w:numId w:val="11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编辑保存后，计价生效，线上订单以下单时计价为准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2"/>
        <w:gridCol w:w="2088"/>
        <w:gridCol w:w="1415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字段项</w:t>
            </w:r>
          </w:p>
        </w:tc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规则</w:t>
            </w:r>
          </w:p>
        </w:tc>
        <w:tc>
          <w:tcPr>
            <w:tcW w:w="1415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交互</w:t>
            </w:r>
          </w:p>
        </w:tc>
        <w:tc>
          <w:tcPr>
            <w:tcW w:w="1753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省/直辖市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不可编辑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城市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不可编辑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车型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不可编辑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起步价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包含公里数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起步价包含的公里数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里程费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每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0.1公里计费一次，不足0.1按0.1计算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时长费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不足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1分钟按1分钟加收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远途费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远途费起步里程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夜间费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夜间时长起止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时间选择器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保存后计价生效，关闭弹窗，返回列表并刷新页面</w:t>
            </w: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9575" cy="361950"/>
                  <wp:effectExtent l="0" t="0" r="9525" b="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点击后关闭弹窗，返回列表，不刷新页面</w:t>
            </w: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3.3计价管理-区域计价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3.3.1计价管理-区域计价-列表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990340"/>
            <wp:effectExtent l="0" t="0" r="635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在已开通城市下设置单独的区县计价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已开通区县计价的查询、维护、新增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登陆配置后台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2、区域所属的城市已开通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1、添加新增区域计价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2、编辑已设置计价区域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3、编辑、查询、维护已设置计价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新增区域计价后默认禁用状态，启用后生效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列表可查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1、启用计价并启用开通城市后，客户端根据显示规则显示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2、编辑计价数据回显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3、计价不可删除，只可编辑或启禁用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4、只可配置已开通城市下的区域计价，未开通不能配置，配置计价城市和启用/禁用无关，只要城市存在于城市列表，即可配置计价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5、当前区域，有且只能有1个车型计价，无法重复添加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6、已设置区域计价的区域按照计价计费，无设置计价的区域按照城市计价计费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2"/>
        <w:gridCol w:w="2088"/>
        <w:gridCol w:w="1415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字段项</w:t>
            </w:r>
          </w:p>
        </w:tc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规则</w:t>
            </w:r>
          </w:p>
        </w:tc>
        <w:tc>
          <w:tcPr>
            <w:tcW w:w="1415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交互</w:t>
            </w:r>
          </w:p>
        </w:tc>
        <w:tc>
          <w:tcPr>
            <w:tcW w:w="1753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查询-省/直辖市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已有开通城市的省份可见、可选</w:t>
            </w: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查询-城市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根据已选【省/直辖市】二级联动，已开通城市可见、可选</w:t>
            </w: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查询-区域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根据已选【城市】二级联动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查询-车型选择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畅享型、乐享型、尊享型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查询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添加计价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点击弹出【添加计价】弹窗</w:t>
            </w: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列表-省/直辖市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根据添加实际内容显示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列表-城市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列表-区域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列表-车型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列表-起步价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列表-里程费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每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0.1公里计费一次，不足0.1按0.1计算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列表-时长费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不足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1分钟按1分钟加收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列表-远途费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列表-夜间费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操作-编辑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操作-启/禁用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新增默认为禁用状态，启用后生效</w:t>
            </w: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点击【禁用】二次弹框确认</w:t>
            </w: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3.3.2计价管理-区域计价-添加计价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3919220"/>
            <wp:effectExtent l="0" t="0" r="10795" b="50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开通城市下设置区域计价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已开通城市下区域计价的新增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1、登录</w:t>
            </w:r>
            <w:r>
              <w:rPr>
                <w:rFonts w:hint="eastAsia" w:ascii="Arial" w:hAnsi="Arial" w:cs="Arial"/>
                <w:sz w:val="18"/>
                <w:lang w:eastAsia="zh-CN"/>
              </w:rPr>
              <w:t>配置后台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当前区域所属城市已开通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1、添加新增区域计价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新增区域计价后默认禁用状态，启用后生效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列表可查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1、启用计价并启用开通城市后，客户端根据显示规则显示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2、只可配置已开通城市下区域计价，未开通不能配置，配置计价城市和启用/禁用无关，只要城市存在于城市列表，即可配置计价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3、当前区域，有且只能有1个车型计价，无法重复添加</w:t>
            </w:r>
          </w:p>
        </w:tc>
      </w:tr>
    </w:tbl>
    <w:p>
      <w:pPr>
        <w:widowControl w:val="0"/>
        <w:numPr>
          <w:ilvl w:val="0"/>
          <w:numId w:val="0"/>
        </w:numPr>
        <w:jc w:val="left"/>
      </w:pP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2"/>
        <w:gridCol w:w="2088"/>
        <w:gridCol w:w="1415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字段项</w:t>
            </w:r>
          </w:p>
        </w:tc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规则</w:t>
            </w:r>
          </w:p>
        </w:tc>
        <w:tc>
          <w:tcPr>
            <w:tcW w:w="1415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交互</w:t>
            </w:r>
          </w:p>
        </w:tc>
        <w:tc>
          <w:tcPr>
            <w:tcW w:w="1753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省/直辖市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已有开通城市的省份可见、可选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城市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根据已选【省/直辖市】二级联动，已开通城市可见、可选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区域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根据已选【城市】二级联动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车型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畅享型、乐享型、尊享型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起步价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包含公里数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起步价包含的公里数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里程费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单位：元/公里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每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0.1公里计费一次，不足0.1按0.1计算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时长费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单位：元/公里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不足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1分钟按1分钟加收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远途费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单位：元/公里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远途费起步里程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夜间费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单位：元/公里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夜间时长起止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时间选择器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保存后创建，关闭弹窗，返回列表并刷新页面</w:t>
            </w: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新增城市计价后默认禁用状态，启用后生效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9575" cy="361950"/>
                  <wp:effectExtent l="0" t="0" r="9525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点击后关闭弹窗，返回列表，不刷新页面</w:t>
            </w: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3.3.3计价管理-区域计价-编辑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编辑已有区域计价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编辑已有区域计价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编辑区域计价，数据回显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1、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编辑并保存后计价生效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2、</w:t>
            </w:r>
            <w:r>
              <w:rPr>
                <w:rFonts w:hint="eastAsia" w:ascii="Arial" w:hAnsi="Arial" w:cs="Arial"/>
                <w:sz w:val="18"/>
                <w:lang w:eastAsia="zh-CN"/>
              </w:rPr>
              <w:t>列表可查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城市、车型信息无法编辑</w:t>
            </w:r>
          </w:p>
          <w:p>
            <w:pPr>
              <w:numPr>
                <w:ilvl w:val="0"/>
                <w:numId w:val="11"/>
              </w:numPr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编辑保存后，计价生效，线上订单以下单时计价为准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2"/>
        <w:gridCol w:w="2088"/>
        <w:gridCol w:w="1415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字段项</w:t>
            </w:r>
          </w:p>
        </w:tc>
        <w:tc>
          <w:tcPr>
            <w:tcW w:w="1752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规则</w:t>
            </w:r>
          </w:p>
        </w:tc>
        <w:tc>
          <w:tcPr>
            <w:tcW w:w="1415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交互</w:t>
            </w:r>
          </w:p>
        </w:tc>
        <w:tc>
          <w:tcPr>
            <w:tcW w:w="1753" w:type="dxa"/>
            <w:shd w:val="clear" w:color="auto" w:fill="D9D9D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省/直辖市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不可编辑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城市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不可编辑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区域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不可编辑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车型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下拉框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不可编辑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起步价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0" w:colLast="4"/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包含公里数</w:t>
            </w:r>
          </w:p>
        </w:tc>
        <w:tc>
          <w:tcPr>
            <w:tcW w:w="175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单位：公里</w:t>
            </w: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起步价包含的公里数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里程费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每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0.1公里计费一次，不足0.1按0.1计算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时长费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不足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>1分钟按1分钟加收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远途费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远途费起步里程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夜间费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文本框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夜间时长起止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时间选择器</w:t>
            </w:r>
          </w:p>
        </w:tc>
        <w:tc>
          <w:tcPr>
            <w:tcW w:w="20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可编辑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</w:t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按钮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保存后计价生效，关闭弹窗，返回列表并刷新页面</w:t>
            </w: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9575" cy="3619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8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18"/>
                <w:szCs w:val="18"/>
                <w:vertAlign w:val="baseline"/>
                <w:lang w:val="en-US" w:eastAsia="zh-CN"/>
              </w:rPr>
              <w:t>点击后关闭弹窗，返回列表，不刷新页面</w:t>
            </w:r>
          </w:p>
        </w:tc>
        <w:tc>
          <w:tcPr>
            <w:tcW w:w="17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Arial" w:hAnsi="Arial" w:cs="Arial"/>
                <w:sz w:val="18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应用字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607975">
    <w:nsid w:val="59DC45A7"/>
    <w:multiLevelType w:val="singleLevel"/>
    <w:tmpl w:val="59DC45A7"/>
    <w:lvl w:ilvl="0" w:tentative="1">
      <w:start w:val="1"/>
      <w:numFmt w:val="decimal"/>
      <w:suff w:val="nothing"/>
      <w:lvlText w:val="%1、"/>
      <w:lvlJc w:val="left"/>
    </w:lvl>
  </w:abstractNum>
  <w:abstractNum w:abstractNumId="1510125817">
    <w:nsid w:val="5A02B0F9"/>
    <w:multiLevelType w:val="singleLevel"/>
    <w:tmpl w:val="5A02B0F9"/>
    <w:lvl w:ilvl="0" w:tentative="1">
      <w:start w:val="1"/>
      <w:numFmt w:val="decimal"/>
      <w:suff w:val="nothing"/>
      <w:lvlText w:val="%1、"/>
      <w:lvlJc w:val="left"/>
    </w:lvl>
  </w:abstractNum>
  <w:abstractNum w:abstractNumId="1507607495">
    <w:nsid w:val="59DC43C7"/>
    <w:multiLevelType w:val="singleLevel"/>
    <w:tmpl w:val="59DC43C7"/>
    <w:lvl w:ilvl="0" w:tentative="1">
      <w:start w:val="1"/>
      <w:numFmt w:val="chineseCounting"/>
      <w:suff w:val="nothing"/>
      <w:lvlText w:val="%1、"/>
      <w:lvlJc w:val="left"/>
    </w:lvl>
  </w:abstractNum>
  <w:abstractNum w:abstractNumId="1510123436">
    <w:nsid w:val="5A02A7AC"/>
    <w:multiLevelType w:val="singleLevel"/>
    <w:tmpl w:val="5A02A7AC"/>
    <w:lvl w:ilvl="0" w:tentative="1">
      <w:start w:val="1"/>
      <w:numFmt w:val="decimal"/>
      <w:suff w:val="nothing"/>
      <w:lvlText w:val="%1、"/>
      <w:lvlJc w:val="left"/>
    </w:lvl>
  </w:abstractNum>
  <w:abstractNum w:abstractNumId="1510123230">
    <w:nsid w:val="5A02A6DE"/>
    <w:multiLevelType w:val="singleLevel"/>
    <w:tmpl w:val="5A02A6DE"/>
    <w:lvl w:ilvl="0" w:tentative="1">
      <w:start w:val="1"/>
      <w:numFmt w:val="decimal"/>
      <w:suff w:val="nothing"/>
      <w:lvlText w:val="%1、"/>
      <w:lvlJc w:val="left"/>
    </w:lvl>
  </w:abstractNum>
  <w:abstractNum w:abstractNumId="1510126269">
    <w:nsid w:val="5A02B2BD"/>
    <w:multiLevelType w:val="singleLevel"/>
    <w:tmpl w:val="5A02B2BD"/>
    <w:lvl w:ilvl="0" w:tentative="1">
      <w:start w:val="1"/>
      <w:numFmt w:val="decimal"/>
      <w:suff w:val="nothing"/>
      <w:lvlText w:val="%1、"/>
      <w:lvlJc w:val="left"/>
    </w:lvl>
  </w:abstractNum>
  <w:abstractNum w:abstractNumId="1507607952">
    <w:nsid w:val="59DC4590"/>
    <w:multiLevelType w:val="singleLevel"/>
    <w:tmpl w:val="59DC4590"/>
    <w:lvl w:ilvl="0" w:tentative="1">
      <w:start w:val="2"/>
      <w:numFmt w:val="chineseCounting"/>
      <w:suff w:val="nothing"/>
      <w:lvlText w:val="%1、"/>
      <w:lvlJc w:val="left"/>
    </w:lvl>
  </w:abstractNum>
  <w:abstractNum w:abstractNumId="1510126328">
    <w:nsid w:val="5A02B2F8"/>
    <w:multiLevelType w:val="singleLevel"/>
    <w:tmpl w:val="5A02B2F8"/>
    <w:lvl w:ilvl="0" w:tentative="1">
      <w:start w:val="1"/>
      <w:numFmt w:val="decimal"/>
      <w:suff w:val="nothing"/>
      <w:lvlText w:val="%1、"/>
      <w:lvlJc w:val="left"/>
    </w:lvl>
  </w:abstractNum>
  <w:abstractNum w:abstractNumId="1507607655">
    <w:nsid w:val="59DC4467"/>
    <w:multiLevelType w:val="singleLevel"/>
    <w:tmpl w:val="59DC4467"/>
    <w:lvl w:ilvl="0" w:tentative="1">
      <w:start w:val="1"/>
      <w:numFmt w:val="decimal"/>
      <w:suff w:val="nothing"/>
      <w:lvlText w:val="%1、"/>
      <w:lvlJc w:val="left"/>
    </w:lvl>
  </w:abstractNum>
  <w:abstractNum w:abstractNumId="1510126479">
    <w:nsid w:val="5A02B38F"/>
    <w:multiLevelType w:val="singleLevel"/>
    <w:tmpl w:val="5A02B38F"/>
    <w:lvl w:ilvl="0" w:tentative="1">
      <w:start w:val="1"/>
      <w:numFmt w:val="decimal"/>
      <w:suff w:val="nothing"/>
      <w:lvlText w:val="%1、"/>
      <w:lvlJc w:val="left"/>
    </w:lvl>
  </w:abstractNum>
  <w:abstractNum w:abstractNumId="1510129707">
    <w:nsid w:val="5A02C02B"/>
    <w:multiLevelType w:val="singleLevel"/>
    <w:tmpl w:val="5A02C02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7607495"/>
  </w:num>
  <w:num w:numId="2">
    <w:abstractNumId w:val="1507607655"/>
  </w:num>
  <w:num w:numId="3">
    <w:abstractNumId w:val="1507607952"/>
  </w:num>
  <w:num w:numId="4">
    <w:abstractNumId w:val="1507607975"/>
  </w:num>
  <w:num w:numId="5">
    <w:abstractNumId w:val="1510123230"/>
  </w:num>
  <w:num w:numId="6">
    <w:abstractNumId w:val="1510123436"/>
  </w:num>
  <w:num w:numId="7">
    <w:abstractNumId w:val="1510125817"/>
  </w:num>
  <w:num w:numId="8">
    <w:abstractNumId w:val="1510126269"/>
  </w:num>
  <w:num w:numId="9">
    <w:abstractNumId w:val="1510126328"/>
  </w:num>
  <w:num w:numId="10">
    <w:abstractNumId w:val="1510126479"/>
  </w:num>
  <w:num w:numId="11">
    <w:abstractNumId w:val="15101297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1624"/>
    <w:rsid w:val="04C42951"/>
    <w:rsid w:val="06E95A7F"/>
    <w:rsid w:val="09080FB0"/>
    <w:rsid w:val="11000ACA"/>
    <w:rsid w:val="11E74E4F"/>
    <w:rsid w:val="13D9101B"/>
    <w:rsid w:val="144F2CA3"/>
    <w:rsid w:val="164C3B71"/>
    <w:rsid w:val="1D16028F"/>
    <w:rsid w:val="22BC26A6"/>
    <w:rsid w:val="244125E1"/>
    <w:rsid w:val="24B27905"/>
    <w:rsid w:val="264E4996"/>
    <w:rsid w:val="28AE2503"/>
    <w:rsid w:val="2E512BDC"/>
    <w:rsid w:val="33561C5A"/>
    <w:rsid w:val="33DC7C13"/>
    <w:rsid w:val="34883AC6"/>
    <w:rsid w:val="36891FD0"/>
    <w:rsid w:val="399D0FE7"/>
    <w:rsid w:val="3A300599"/>
    <w:rsid w:val="3A50321C"/>
    <w:rsid w:val="3D9F2B13"/>
    <w:rsid w:val="41C428D9"/>
    <w:rsid w:val="43187E65"/>
    <w:rsid w:val="456177C9"/>
    <w:rsid w:val="479A6148"/>
    <w:rsid w:val="4E472C48"/>
    <w:rsid w:val="50F859E8"/>
    <w:rsid w:val="55805DF4"/>
    <w:rsid w:val="596B5062"/>
    <w:rsid w:val="5A045AB5"/>
    <w:rsid w:val="5BC07090"/>
    <w:rsid w:val="5D10453C"/>
    <w:rsid w:val="67F82FDD"/>
    <w:rsid w:val="6D656CD8"/>
    <w:rsid w:val="6DE640E6"/>
    <w:rsid w:val="6F7B1F92"/>
    <w:rsid w:val="778B4A8B"/>
    <w:rsid w:val="77E0418D"/>
    <w:rsid w:val="77E81D5F"/>
    <w:rsid w:val="7AF61C7E"/>
    <w:rsid w:val="7B522EF8"/>
    <w:rsid w:val="7B903D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  <w:pPr>
      <w:spacing w:before="50" w:beforeLines="50" w:after="50" w:afterLines="50"/>
      <w:jc w:val="left"/>
    </w:pPr>
    <w:rPr>
      <w:rFonts w:ascii="Times" w:hAnsi="Times"/>
      <w:b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2017-11-10T02:38:34Z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