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46"/>
        </w:rPr>
        <w:t>JSW ENERGY LIMITED</w:t>
      </w:r>
    </w:p>
    <w:p>
      <w:pPr>
        <w:spacing w:after="140"/>
      </w:pPr>
      <w:r>
        <w:rPr>
          <w:i/>
          <w:color w:val="2A78D6"/>
          <w:sz w:val="26"/>
        </w:rPr>
        <w:t>A thermal balance sheet funding a renewable company</w:t>
      </w:r>
    </w:p>
    <w:p>
      <w:pPr>
        <w:shd w:val="clear" w:color="auto" w:fill="1F3864"/>
        <w:spacing w:before="0" w:after="60"/>
      </w:pPr>
      <w:r>
        <w:rPr>
          <w:b/>
          <w:color w:val="FFFFFF"/>
          <w:sz w:val="22"/>
        </w:rPr>
        <w:t>NSE: JSWENERGY</w:t>
      </w:r>
      <w:r>
        <w:rPr>
          <w:b w:val="0"/>
          <w:color w:val="FFFFFF"/>
          <w:sz w:val="22"/>
        </w:rPr>
        <w:t xml:space="preserve">  |  CMP Rs.561</w:t>
      </w:r>
      <w:r>
        <w:rPr>
          <w:b w:val="0"/>
          <w:color w:val="FFFFFF"/>
          <w:sz w:val="22"/>
        </w:rPr>
        <w:t xml:space="preserve">  |  Mkt cap Rs.98,584cr</w:t>
      </w:r>
      <w:r>
        <w:rPr>
          <w:b w:val="0"/>
          <w:color w:val="FFFFFF"/>
          <w:sz w:val="22"/>
        </w:rPr>
        <w:t xml:space="preserve">  |  </w:t>
      </w:r>
      <w:r>
        <w:rPr>
          <w:b/>
          <w:color w:val="FFFFFF"/>
          <w:sz w:val="22"/>
        </w:rPr>
        <w:t>HOLD</w:t>
      </w:r>
      <w:r>
        <w:rPr>
          <w:b/>
          <w:color w:val="FFFFFF"/>
          <w:sz w:val="22"/>
        </w:rPr>
        <w:t xml:space="preserve">  |  TP Rs.625</w:t>
      </w:r>
      <w:r>
        <w:rPr>
          <w:b w:val="0"/>
          <w:color w:val="FFFFFF"/>
          <w:sz w:val="22"/>
        </w:rPr>
        <w:t xml:space="preserve">  |  Upside +11.4%</w:t>
      </w:r>
      <w:r>
        <w:rPr>
          <w:b w:val="0"/>
          <w:color w:val="FFFFFF"/>
          <w:sz w:val="22"/>
        </w:rPr>
        <w:t xml:space="preserve">  |  July 2026</w:t>
      </w:r>
    </w:p>
    <w:p>
      <w:pPr>
        <w:spacing w:before="0" w:after="200"/>
      </w:pPr>
      <w:r>
        <w:rPr>
          <w:b w:val="0"/>
          <w:i/>
          <w:color w:val="52514E"/>
          <w:sz w:val="16"/>
        </w:rPr>
        <w:t>Market data as of 17 July 2026 (multiple history to 23 July 2026). Consolidated basis throughout. Estimates are the attached analyst model, used exactly as given. Primary sources: FY26 Integrated Annual Report (consolidated financial statements, audited by Deloitte Haskins &amp; Sells LLP), the Q4FY26 earnings call transcript of 11 May 2026, and the Q1FY27 results and call of 22 July 2026. Base target price = 11.9x FY28E EV/EBITDA less FY27E-end net debt, on 1,833mn post-QIP shares — the same construction the model carries.</w:t>
      </w:r>
    </w:p>
    <w:p>
      <w:pPr>
        <w:keepNext/>
        <w:pBdr>
          <w:bottom w:val="single" w:sz="8" w:space="3" w:color="1F3864"/>
        </w:pBdr>
        <w:spacing w:before="240" w:after="40"/>
      </w:pPr>
      <w:r>
        <w:rPr>
          <w:b/>
          <w:color w:val="1F3864"/>
          <w:sz w:val="24"/>
        </w:rPr>
        <w:t>PART A — THE BUSINESS</w:t>
      </w:r>
    </w:p>
    <w:p>
      <w:pPr>
        <w:keepNext/>
        <w:spacing w:before="180" w:after="40"/>
      </w:pPr>
      <w:r>
        <w:rPr>
          <w:b/>
          <w:color w:val="1F3864"/>
          <w:sz w:val="21"/>
        </w:rPr>
        <w:t>2.  Company Overview</w:t>
      </w:r>
    </w:p>
    <w:p>
      <w:pPr>
        <w:pStyle w:val="ListBullet"/>
        <w:spacing w:after="50" w:line="252" w:lineRule="auto"/>
        <w:ind w:left="312"/>
      </w:pPr>
      <w:r>
        <w:rPr>
          <w:color w:val="0B0B0B"/>
          <w:sz w:val="17"/>
        </w:rPr>
        <w:t>JSW Energy generates and sells electricity in India. It runs 5,658MW of coal and lignite thermal at Ratnagiri, Vijayanagar, Nandyal, Barmer, Ind-Barath (Odisha) and KSK Mahanadi (Chhattisgarh); Himalayan hydro at Karcham Wangtoo, Baspa II, Kutehr and the newly acquired Tidong (150MW, from Statkraft, first 50MW commissioned 8 May 2026); and 6,165MW of solar, wind and hybrid renewables held under JSW Neo Energy. Operational capacity was 13.45GW at FY26A end and 14.6GW after Q1FY27, of which 61% is renewable. A further 14GW of generation is under construction, all tied up under long-term PPAs, and total locked-in capacity is 32.1GW against the company's 30GW-by-2030 target.</w:t>
      </w:r>
    </w:p>
    <w:p>
      <w:pPr>
        <w:pStyle w:val="ListBullet"/>
        <w:spacing w:after="50" w:line="252" w:lineRule="auto"/>
        <w:ind w:left="312"/>
      </w:pPr>
      <w:r>
        <w:rPr>
          <w:color w:val="0B0B0B"/>
          <w:sz w:val="17"/>
        </w:rPr>
        <w:t>The stock trades at 11.2x FY28E EV/EBITDA and 3.2x FY26A book. Its own 12-month forward multiple has averaged 9.0x since 2010; it sits at 13.9x today, roughly +1 standard deviation. The equity is 29% of enterprise value, so the share price is geared to the exit multiple more than to the operations.</w:t>
      </w:r>
    </w:p>
    <w:p>
      <w:pPr>
        <w:pStyle w:val="ListBullet"/>
        <w:spacing w:after="50" w:line="252" w:lineRule="auto"/>
        <w:ind w:left="312"/>
      </w:pPr>
      <w:r>
        <w:rPr>
          <w:color w:val="0B0B0B"/>
          <w:sz w:val="17"/>
        </w:rPr>
        <w:t>The company is the power arm of the Sajjan Jindal group, listed since 2010. It began as a captive supplier to JSW Steel at Vijayanagar and has grown almost entirely by acquisition and tender since: Mytrah (1,753MW, FY23), Ind-Barath (700MW, FY24–25), KSK Mahanadi (1,800MW via NCLT, FY25) and the O2 Power platform (4.7GW, Rs.12,468cr EV, FY26). There is no meaningful proprietary technology or IP — this is an assets-and-contracts business.</w:t>
      </w:r>
    </w:p>
    <w:p>
      <w:pPr>
        <w:pStyle w:val="ListBullet"/>
        <w:spacing w:after="50" w:line="252" w:lineRule="auto"/>
        <w:ind w:left="312"/>
      </w:pPr>
      <w:r>
        <w:rPr>
          <w:color w:val="0B0B0B"/>
          <w:sz w:val="17"/>
        </w:rPr>
        <w:t>FY26A was the largest step-change in the company's history: revenue rose 61% to Rs.18,901cr and EBITDA 93% to Rs.10,064cr (Rs.11,041cr on the company's definition, which includes other income), almost entirely because KSK Mahanadi and the O2 platform consolidated for the first time. Reported PAT rose only 15% to Rs.2,239cr — and, as Section 22 sets out, that figure was flattered by a Rs.777cr net tax credit that management has explained but which is not repeatable. Net debt rose Rs.25,155cr to Rs.70,081cr in the same year.</w:t>
      </w:r>
    </w:p>
    <w:p>
      <w:pPr>
        <w:pStyle w:val="ListBullet"/>
        <w:spacing w:after="50" w:line="252" w:lineRule="auto"/>
        <w:ind w:left="312"/>
      </w:pPr>
      <w:r>
        <w:rPr>
          <w:color w:val="0B0B0B"/>
          <w:sz w:val="17"/>
        </w:rPr>
        <w:t>The funding is done. Across FY26 and Q1FY27 the company raised Rs.10,150cr — a Rs.3,000cr promoter preferential issue, Rs.3,150cr from monetising part of the JSW Steel cross-holding, and a Rs.4,000cr QIP. All three are in the model. Leverage on the company's own measure improved to 4.95x after the raise, inside its 5.0–5.5x guardrail.</w:t>
      </w:r>
    </w:p>
    <w:p>
      <w:pPr>
        <w:keepNext/>
        <w:spacing w:before="180" w:after="40"/>
      </w:pPr>
      <w:r>
        <w:rPr>
          <w:b/>
          <w:color w:val="1F3864"/>
          <w:sz w:val="21"/>
        </w:rPr>
        <w:t>3.  Corporate Structure — Standalone, Subsidiaries and JVs</w:t>
      </w:r>
    </w:p>
    <w:p>
      <w:pPr>
        <w:spacing w:before="0" w:after="100"/>
      </w:pPr>
      <w:r>
        <w:rPr>
          <w:b w:val="0"/>
          <w:i w:val="0"/>
          <w:color w:val="0B0B0B"/>
          <w:sz w:val="17"/>
        </w:rPr>
        <w:t>In plain language: the listed company you buy is a minority of the business. JSW Energy Limited on a standalone basis owns three old thermal plants totalling 2,078MW and produced 18% of FY26A segment EBITDA. Everything else sits one or two levels below it. The thermal earnings are in four separate subsidiaries; the hydro is in one; and the entire renewable build — the part of the company the valuation depends on — sits inside JSW Neo Energy Limited, a wholly-owned holding company that itself holds the acquired platforms. One of the four thermal subsidiaries, KSK Mahanadi, is only 74% owned, which matters: it was the single largest EBITDA contributor in FY26A.</w:t>
      </w:r>
    </w:p>
    <w:p>
      <w:pPr>
        <w:spacing w:before="120" w:after="40"/>
        <w:jc w:val="center"/>
      </w:pPr>
      <w:r>
        <w:drawing>
          <wp:inline xmlns:a="http://schemas.openxmlformats.org/drawingml/2006/main" xmlns:pic="http://schemas.openxmlformats.org/drawingml/2006/picture">
            <wp:extent cx="5940000" cy="3154038"/>
            <wp:docPr id="1" name="Picture 1"/>
            <wp:cNvGraphicFramePr>
              <a:graphicFrameLocks noChangeAspect="1"/>
            </wp:cNvGraphicFramePr>
            <a:graphic>
              <a:graphicData uri="http://schemas.openxmlformats.org/drawingml/2006/picture">
                <pic:pic>
                  <pic:nvPicPr>
                    <pic:cNvPr id="0" name="ex7_structure.png"/>
                    <pic:cNvPicPr/>
                  </pic:nvPicPr>
                  <pic:blipFill>
                    <a:blip r:embed="rId9"/>
                    <a:stretch>
                      <a:fillRect/>
                    </a:stretch>
                  </pic:blipFill>
                  <pic:spPr>
                    <a:xfrm>
                      <a:off x="0" y="0"/>
                      <a:ext cx="5940000" cy="3154038"/>
                    </a:xfrm>
                    <a:prstGeom prst="rect"/>
                  </pic:spPr>
                </pic:pic>
              </a:graphicData>
            </a:graphic>
          </wp:inline>
        </w:drawing>
      </w:r>
    </w:p>
    <w:p>
      <w:pPr>
        <w:spacing w:before="0" w:after="140"/>
      </w:pPr>
      <w:r>
        <w:rPr>
          <w:b w:val="0"/>
          <w:i/>
          <w:color w:val="8A8880"/>
          <w:sz w:val="14"/>
        </w:rPr>
        <w:t>Exhibit 1  Corporate structure. Source: FY25 annual report (AOC-1 and salient-features statement), Q4FY26 and Q1FY27 filings, analyst model.</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1843"/>
        <w:gridCol w:w="1251"/>
        <w:gridCol w:w="658"/>
        <w:gridCol w:w="3358"/>
        <w:gridCol w:w="1251"/>
        <w:gridCol w:w="921"/>
        <w:gridCol w:w="921"/>
      </w:tblGrid>
      <w:tr>
        <w:tc>
          <w:tcPr>
            <w:tcW w:type="dxa" w:w="1843"/>
            <w:shd w:val="clear" w:color="auto" w:fill="1F3864"/>
          </w:tcPr>
          <w:p>
            <w:pPr>
              <w:spacing w:before="50" w:after="50"/>
              <w:jc w:val="left"/>
            </w:pPr>
            <w:r>
              <w:rPr>
                <w:b/>
                <w:color w:val="FFFFFF"/>
                <w:sz w:val="14"/>
              </w:rPr>
              <w:t>Entity</w:t>
            </w:r>
          </w:p>
        </w:tc>
        <w:tc>
          <w:tcPr>
            <w:tcW w:type="dxa" w:w="1251"/>
            <w:shd w:val="clear" w:color="auto" w:fill="1F3864"/>
          </w:tcPr>
          <w:p>
            <w:pPr>
              <w:spacing w:before="50" w:after="50"/>
              <w:jc w:val="right"/>
            </w:pPr>
            <w:r>
              <w:rPr>
                <w:b/>
                <w:color w:val="FFFFFF"/>
                <w:sz w:val="14"/>
              </w:rPr>
              <w:t>Type</w:t>
            </w:r>
          </w:p>
        </w:tc>
        <w:tc>
          <w:tcPr>
            <w:tcW w:type="dxa" w:w="658"/>
            <w:shd w:val="clear" w:color="auto" w:fill="1F3864"/>
          </w:tcPr>
          <w:p>
            <w:pPr>
              <w:spacing w:before="50" w:after="50"/>
              <w:jc w:val="right"/>
            </w:pPr>
            <w:r>
              <w:rPr>
                <w:b/>
                <w:color w:val="FFFFFF"/>
                <w:sz w:val="14"/>
              </w:rPr>
              <w:t>%</w:t>
            </w:r>
          </w:p>
        </w:tc>
        <w:tc>
          <w:tcPr>
            <w:tcW w:type="dxa" w:w="3358"/>
            <w:shd w:val="clear" w:color="auto" w:fill="1F3864"/>
          </w:tcPr>
          <w:p>
            <w:pPr>
              <w:spacing w:before="50" w:after="50"/>
              <w:jc w:val="right"/>
            </w:pPr>
            <w:r>
              <w:rPr>
                <w:b/>
                <w:color w:val="FFFFFF"/>
                <w:sz w:val="14"/>
              </w:rPr>
              <w:t>What sits here</w:t>
            </w:r>
          </w:p>
        </w:tc>
        <w:tc>
          <w:tcPr>
            <w:tcW w:type="dxa" w:w="1251"/>
            <w:shd w:val="clear" w:color="auto" w:fill="1F3864"/>
          </w:tcPr>
          <w:p>
            <w:pPr>
              <w:spacing w:before="50" w:after="50"/>
              <w:jc w:val="right"/>
            </w:pPr>
            <w:r>
              <w:rPr>
                <w:b/>
                <w:color w:val="FFFFFF"/>
                <w:sz w:val="14"/>
              </w:rPr>
              <w:t>Formed / acquired</w:t>
            </w:r>
          </w:p>
        </w:tc>
        <w:tc>
          <w:tcPr>
            <w:tcW w:type="dxa" w:w="922"/>
            <w:shd w:val="clear" w:color="auto" w:fill="1F3864"/>
          </w:tcPr>
          <w:p>
            <w:pPr>
              <w:spacing w:before="50" w:after="50"/>
              <w:jc w:val="right"/>
            </w:pPr>
            <w:r>
              <w:rPr>
                <w:b/>
                <w:color w:val="FFFFFF"/>
                <w:sz w:val="14"/>
              </w:rPr>
              <w:t>FY26A revenue (Rs.cr)</w:t>
            </w:r>
          </w:p>
        </w:tc>
        <w:tc>
          <w:tcPr>
            <w:tcW w:type="dxa" w:w="922"/>
            <w:shd w:val="clear" w:color="auto" w:fill="1F3864"/>
          </w:tcPr>
          <w:p>
            <w:pPr>
              <w:spacing w:before="50" w:after="50"/>
              <w:jc w:val="right"/>
            </w:pPr>
            <w:r>
              <w:rPr>
                <w:b/>
                <w:color w:val="FFFFFF"/>
                <w:sz w:val="14"/>
              </w:rPr>
              <w:t>FY26A EBITDA (Rs.cr)</w:t>
            </w:r>
          </w:p>
        </w:tc>
      </w:tr>
      <w:tr>
        <w:tc>
          <w:tcPr>
            <w:tcW w:type="dxa" w:w="1843"/>
          </w:tcPr>
          <w:p>
            <w:pPr>
              <w:spacing w:before="32" w:after="32" w:line="240" w:lineRule="auto"/>
              <w:jc w:val="left"/>
            </w:pPr>
            <w:r>
              <w:rPr>
                <w:b w:val="0"/>
                <w:color w:val="0B0B0B"/>
                <w:sz w:val="14"/>
              </w:rPr>
              <w:t>JSW Energy Ltd</w:t>
            </w:r>
          </w:p>
        </w:tc>
        <w:tc>
          <w:tcPr>
            <w:tcW w:type="dxa" w:w="1251"/>
          </w:tcPr>
          <w:p>
            <w:pPr>
              <w:spacing w:before="32" w:after="32" w:line="240" w:lineRule="auto"/>
              <w:jc w:val="right"/>
            </w:pPr>
            <w:r>
              <w:rPr>
                <w:b w:val="0"/>
                <w:color w:val="0B0B0B"/>
                <w:sz w:val="14"/>
              </w:rPr>
              <w:t>Listed parent (standalone)</w:t>
            </w:r>
          </w:p>
        </w:tc>
        <w:tc>
          <w:tcPr>
            <w:tcW w:type="dxa" w:w="658"/>
          </w:tcPr>
          <w:p>
            <w:pPr>
              <w:spacing w:before="32" w:after="32" w:line="240" w:lineRule="auto"/>
              <w:jc w:val="right"/>
            </w:pPr>
            <w:r>
              <w:rPr>
                <w:b w:val="0"/>
                <w:color w:val="0B0B0B"/>
                <w:sz w:val="14"/>
              </w:rPr>
              <w:t>—</w:t>
            </w:r>
          </w:p>
        </w:tc>
        <w:tc>
          <w:tcPr>
            <w:tcW w:type="dxa" w:w="3358"/>
          </w:tcPr>
          <w:p>
            <w:pPr>
              <w:spacing w:before="32" w:after="32" w:line="240" w:lineRule="auto"/>
              <w:jc w:val="right"/>
            </w:pPr>
            <w:r>
              <w:rPr>
                <w:b w:val="0"/>
                <w:color w:val="0B0B0B"/>
                <w:sz w:val="14"/>
              </w:rPr>
              <w:t>Ratnagiri 1,200MW, Vijayanagar 860MW, Nandyal 18MW</w:t>
            </w:r>
          </w:p>
        </w:tc>
        <w:tc>
          <w:tcPr>
            <w:tcW w:type="dxa" w:w="1251"/>
          </w:tcPr>
          <w:p>
            <w:pPr>
              <w:spacing w:before="32" w:after="32" w:line="240" w:lineRule="auto"/>
              <w:jc w:val="right"/>
            </w:pPr>
            <w:r>
              <w:rPr>
                <w:b w:val="0"/>
                <w:color w:val="0B0B0B"/>
                <w:sz w:val="14"/>
              </w:rPr>
              <w:t>Listed 2010</w:t>
            </w:r>
          </w:p>
        </w:tc>
        <w:tc>
          <w:tcPr>
            <w:tcW w:type="dxa" w:w="922"/>
          </w:tcPr>
          <w:p>
            <w:pPr>
              <w:spacing w:before="32" w:after="32" w:line="240" w:lineRule="auto"/>
              <w:jc w:val="right"/>
            </w:pPr>
            <w:r>
              <w:rPr>
                <w:b w:val="0"/>
                <w:color w:val="0B0B0B"/>
                <w:sz w:val="14"/>
              </w:rPr>
              <w:t>3,030</w:t>
            </w:r>
          </w:p>
        </w:tc>
        <w:tc>
          <w:tcPr>
            <w:tcW w:type="dxa" w:w="922"/>
          </w:tcPr>
          <w:p>
            <w:pPr>
              <w:spacing w:before="32" w:after="32" w:line="240" w:lineRule="auto"/>
              <w:jc w:val="right"/>
            </w:pPr>
            <w:r>
              <w:rPr>
                <w:b w:val="0"/>
                <w:color w:val="0B0B0B"/>
                <w:sz w:val="14"/>
              </w:rPr>
              <w:t>1,957</w:t>
            </w:r>
          </w:p>
        </w:tc>
      </w:tr>
      <w:tr>
        <w:tc>
          <w:tcPr>
            <w:tcW w:type="dxa" w:w="1843"/>
            <w:shd w:val="clear" w:color="auto" w:fill="EEF3FA"/>
          </w:tcPr>
          <w:p>
            <w:pPr>
              <w:spacing w:before="32" w:after="32" w:line="240" w:lineRule="auto"/>
              <w:jc w:val="left"/>
            </w:pPr>
            <w:r>
              <w:rPr>
                <w:b w:val="0"/>
                <w:color w:val="0B0B0B"/>
                <w:sz w:val="14"/>
              </w:rPr>
              <w:t>JSW Energy (Barmer) Ltd</w:t>
            </w:r>
          </w:p>
        </w:tc>
        <w:tc>
          <w:tcPr>
            <w:tcW w:type="dxa" w:w="1251"/>
            <w:shd w:val="clear" w:color="auto" w:fill="EEF3FA"/>
          </w:tcPr>
          <w:p>
            <w:pPr>
              <w:spacing w:before="32" w:after="32" w:line="240" w:lineRule="auto"/>
              <w:jc w:val="right"/>
            </w:pPr>
            <w:r>
              <w:rPr>
                <w:b w:val="0"/>
                <w:color w:val="0B0B0B"/>
                <w:sz w:val="14"/>
              </w:rPr>
              <w:t>Subsidiary</w:t>
            </w:r>
          </w:p>
        </w:tc>
        <w:tc>
          <w:tcPr>
            <w:tcW w:type="dxa" w:w="658"/>
            <w:shd w:val="clear" w:color="auto" w:fill="EEF3FA"/>
          </w:tcPr>
          <w:p>
            <w:pPr>
              <w:spacing w:before="32" w:after="32" w:line="240" w:lineRule="auto"/>
              <w:jc w:val="right"/>
            </w:pPr>
            <w:r>
              <w:rPr>
                <w:b w:val="0"/>
                <w:color w:val="0B0B0B"/>
                <w:sz w:val="14"/>
              </w:rPr>
              <w:t>100%</w:t>
            </w:r>
          </w:p>
        </w:tc>
        <w:tc>
          <w:tcPr>
            <w:tcW w:type="dxa" w:w="3358"/>
            <w:shd w:val="clear" w:color="auto" w:fill="EEF3FA"/>
          </w:tcPr>
          <w:p>
            <w:pPr>
              <w:spacing w:before="32" w:after="32" w:line="240" w:lineRule="auto"/>
              <w:jc w:val="right"/>
            </w:pPr>
            <w:r>
              <w:rPr>
                <w:b w:val="0"/>
                <w:color w:val="0B0B0B"/>
                <w:sz w:val="14"/>
              </w:rPr>
              <w:t>1,080MW lignite, RERC-regulated 15% RoE</w:t>
            </w:r>
          </w:p>
        </w:tc>
        <w:tc>
          <w:tcPr>
            <w:tcW w:type="dxa" w:w="1251"/>
            <w:shd w:val="clear" w:color="auto" w:fill="EEF3FA"/>
          </w:tcPr>
          <w:p>
            <w:pPr>
              <w:spacing w:before="32" w:after="32" w:line="240" w:lineRule="auto"/>
              <w:jc w:val="right"/>
            </w:pPr>
            <w:r>
              <w:rPr>
                <w:b w:val="0"/>
                <w:color w:val="0B0B0B"/>
                <w:sz w:val="14"/>
              </w:rPr>
              <w:t>2009–13 (as RajWest)</w:t>
            </w:r>
          </w:p>
        </w:tc>
        <w:tc>
          <w:tcPr>
            <w:tcW w:type="dxa" w:w="922"/>
            <w:shd w:val="clear" w:color="auto" w:fill="EEF3FA"/>
          </w:tcPr>
          <w:p>
            <w:pPr>
              <w:spacing w:before="32" w:after="32" w:line="240" w:lineRule="auto"/>
              <w:jc w:val="right"/>
            </w:pPr>
            <w:r>
              <w:rPr>
                <w:b w:val="0"/>
                <w:color w:val="0B0B0B"/>
                <w:sz w:val="14"/>
              </w:rPr>
              <w:t>2,382</w:t>
            </w:r>
          </w:p>
        </w:tc>
        <w:tc>
          <w:tcPr>
            <w:tcW w:type="dxa" w:w="922"/>
            <w:shd w:val="clear" w:color="auto" w:fill="EEF3FA"/>
          </w:tcPr>
          <w:p>
            <w:pPr>
              <w:spacing w:before="32" w:after="32" w:line="240" w:lineRule="auto"/>
              <w:jc w:val="right"/>
            </w:pPr>
            <w:r>
              <w:rPr>
                <w:b w:val="0"/>
                <w:color w:val="0B0B0B"/>
                <w:sz w:val="14"/>
              </w:rPr>
              <w:t>668</w:t>
            </w:r>
          </w:p>
        </w:tc>
      </w:tr>
      <w:tr>
        <w:tc>
          <w:tcPr>
            <w:tcW w:type="dxa" w:w="1843"/>
          </w:tcPr>
          <w:p>
            <w:pPr>
              <w:spacing w:before="32" w:after="32" w:line="240" w:lineRule="auto"/>
              <w:jc w:val="left"/>
            </w:pPr>
            <w:r>
              <w:rPr>
                <w:b w:val="0"/>
                <w:color w:val="0B0B0B"/>
                <w:sz w:val="14"/>
              </w:rPr>
              <w:t>Ind-Barath Energy (Utkal) Ltd</w:t>
            </w:r>
          </w:p>
        </w:tc>
        <w:tc>
          <w:tcPr>
            <w:tcW w:type="dxa" w:w="1251"/>
          </w:tcPr>
          <w:p>
            <w:pPr>
              <w:spacing w:before="32" w:after="32" w:line="240" w:lineRule="auto"/>
              <w:jc w:val="right"/>
            </w:pPr>
            <w:r>
              <w:rPr>
                <w:b w:val="0"/>
                <w:color w:val="0B0B0B"/>
                <w:sz w:val="14"/>
              </w:rPr>
              <w:t>Subsidiary</w:t>
            </w:r>
          </w:p>
        </w:tc>
        <w:tc>
          <w:tcPr>
            <w:tcW w:type="dxa" w:w="658"/>
          </w:tcPr>
          <w:p>
            <w:pPr>
              <w:spacing w:before="32" w:after="32" w:line="240" w:lineRule="auto"/>
              <w:jc w:val="right"/>
            </w:pPr>
            <w:r>
              <w:rPr>
                <w:b w:val="0"/>
                <w:color w:val="0B0B0B"/>
                <w:sz w:val="14"/>
              </w:rPr>
              <w:t>100%</w:t>
            </w:r>
          </w:p>
        </w:tc>
        <w:tc>
          <w:tcPr>
            <w:tcW w:type="dxa" w:w="3358"/>
          </w:tcPr>
          <w:p>
            <w:pPr>
              <w:spacing w:before="32" w:after="32" w:line="240" w:lineRule="auto"/>
              <w:jc w:val="right"/>
            </w:pPr>
            <w:r>
              <w:rPr>
                <w:b w:val="0"/>
                <w:color w:val="0B0B0B"/>
                <w:sz w:val="14"/>
              </w:rPr>
              <w:t>700MW coal, no PPA, fully merchant</w:t>
            </w:r>
          </w:p>
        </w:tc>
        <w:tc>
          <w:tcPr>
            <w:tcW w:type="dxa" w:w="1251"/>
          </w:tcPr>
          <w:p>
            <w:pPr>
              <w:spacing w:before="32" w:after="32" w:line="240" w:lineRule="auto"/>
              <w:jc w:val="right"/>
            </w:pPr>
            <w:r>
              <w:rPr>
                <w:b w:val="0"/>
                <w:color w:val="0B0B0B"/>
                <w:sz w:val="14"/>
              </w:rPr>
              <w:t>Acquired FY24–25</w:t>
            </w:r>
          </w:p>
        </w:tc>
        <w:tc>
          <w:tcPr>
            <w:tcW w:type="dxa" w:w="922"/>
          </w:tcPr>
          <w:p>
            <w:pPr>
              <w:spacing w:before="32" w:after="32" w:line="240" w:lineRule="auto"/>
              <w:jc w:val="right"/>
            </w:pPr>
            <w:r>
              <w:rPr>
                <w:b w:val="0"/>
                <w:color w:val="0B0B0B"/>
                <w:sz w:val="14"/>
              </w:rPr>
              <w:t>1,912</w:t>
            </w:r>
          </w:p>
        </w:tc>
        <w:tc>
          <w:tcPr>
            <w:tcW w:type="dxa" w:w="922"/>
          </w:tcPr>
          <w:p>
            <w:pPr>
              <w:spacing w:before="32" w:after="32" w:line="240" w:lineRule="auto"/>
              <w:jc w:val="right"/>
            </w:pPr>
            <w:r>
              <w:rPr>
                <w:b w:val="0"/>
                <w:color w:val="0B0B0B"/>
                <w:sz w:val="14"/>
              </w:rPr>
              <w:t>644</w:t>
            </w:r>
          </w:p>
        </w:tc>
      </w:tr>
      <w:tr>
        <w:tc>
          <w:tcPr>
            <w:tcW w:type="dxa" w:w="1843"/>
            <w:shd w:val="clear" w:color="auto" w:fill="EEF3FA"/>
          </w:tcPr>
          <w:p>
            <w:pPr>
              <w:spacing w:before="32" w:after="32" w:line="240" w:lineRule="auto"/>
              <w:jc w:val="left"/>
            </w:pPr>
            <w:r>
              <w:rPr>
                <w:b w:val="0"/>
                <w:color w:val="0B0B0B"/>
                <w:sz w:val="14"/>
              </w:rPr>
              <w:t>JSW Thermal Energy One Ltd</w:t>
            </w:r>
          </w:p>
        </w:tc>
        <w:tc>
          <w:tcPr>
            <w:tcW w:type="dxa" w:w="1251"/>
            <w:shd w:val="clear" w:color="auto" w:fill="EEF3FA"/>
          </w:tcPr>
          <w:p>
            <w:pPr>
              <w:spacing w:before="32" w:after="32" w:line="240" w:lineRule="auto"/>
              <w:jc w:val="right"/>
            </w:pPr>
            <w:r>
              <w:rPr>
                <w:b w:val="0"/>
                <w:color w:val="0B0B0B"/>
                <w:sz w:val="14"/>
              </w:rPr>
              <w:t>Subsidiary</w:t>
            </w:r>
          </w:p>
        </w:tc>
        <w:tc>
          <w:tcPr>
            <w:tcW w:type="dxa" w:w="658"/>
            <w:shd w:val="clear" w:color="auto" w:fill="EEF3FA"/>
          </w:tcPr>
          <w:p>
            <w:pPr>
              <w:spacing w:before="32" w:after="32" w:line="240" w:lineRule="auto"/>
              <w:jc w:val="right"/>
            </w:pPr>
            <w:r>
              <w:rPr>
                <w:b w:val="0"/>
                <w:color w:val="0B0B0B"/>
                <w:sz w:val="14"/>
              </w:rPr>
              <w:t>74% → 100%</w:t>
            </w:r>
          </w:p>
        </w:tc>
        <w:tc>
          <w:tcPr>
            <w:tcW w:type="dxa" w:w="3358"/>
            <w:shd w:val="clear" w:color="auto" w:fill="EEF3FA"/>
          </w:tcPr>
          <w:p>
            <w:pPr>
              <w:spacing w:before="32" w:after="32" w:line="240" w:lineRule="auto"/>
              <w:jc w:val="right"/>
            </w:pPr>
            <w:r>
              <w:rPr>
                <w:b w:val="0"/>
                <w:color w:val="0B0B0B"/>
                <w:sz w:val="14"/>
              </w:rPr>
              <w:t>KSK Mahanadi 1,800MW coal; call option served on the balance 26%</w:t>
            </w:r>
          </w:p>
        </w:tc>
        <w:tc>
          <w:tcPr>
            <w:tcW w:type="dxa" w:w="1251"/>
            <w:shd w:val="clear" w:color="auto" w:fill="EEF3FA"/>
          </w:tcPr>
          <w:p>
            <w:pPr>
              <w:spacing w:before="32" w:after="32" w:line="240" w:lineRule="auto"/>
              <w:jc w:val="right"/>
            </w:pPr>
            <w:r>
              <w:rPr>
                <w:b w:val="0"/>
                <w:color w:val="0B0B0B"/>
                <w:sz w:val="14"/>
              </w:rPr>
              <w:t>NCLT approval Feb 2025</w:t>
            </w:r>
          </w:p>
        </w:tc>
        <w:tc>
          <w:tcPr>
            <w:tcW w:type="dxa" w:w="922"/>
            <w:shd w:val="clear" w:color="auto" w:fill="EEF3FA"/>
          </w:tcPr>
          <w:p>
            <w:pPr>
              <w:spacing w:before="32" w:after="32" w:line="240" w:lineRule="auto"/>
              <w:jc w:val="right"/>
            </w:pPr>
            <w:r>
              <w:rPr>
                <w:b w:val="0"/>
                <w:color w:val="0B0B0B"/>
                <w:sz w:val="14"/>
              </w:rPr>
              <w:t>6,071</w:t>
            </w:r>
          </w:p>
        </w:tc>
        <w:tc>
          <w:tcPr>
            <w:tcW w:type="dxa" w:w="922"/>
            <w:shd w:val="clear" w:color="auto" w:fill="EEF3FA"/>
          </w:tcPr>
          <w:p>
            <w:pPr>
              <w:spacing w:before="32" w:after="32" w:line="240" w:lineRule="auto"/>
              <w:jc w:val="right"/>
            </w:pPr>
            <w:r>
              <w:rPr>
                <w:b w:val="0"/>
                <w:color w:val="0B0B0B"/>
                <w:sz w:val="14"/>
              </w:rPr>
              <w:t>3,343</w:t>
            </w:r>
          </w:p>
        </w:tc>
      </w:tr>
      <w:tr>
        <w:tc>
          <w:tcPr>
            <w:tcW w:type="dxa" w:w="1843"/>
          </w:tcPr>
          <w:p>
            <w:pPr>
              <w:spacing w:before="32" w:after="32" w:line="240" w:lineRule="auto"/>
              <w:jc w:val="left"/>
            </w:pPr>
            <w:r>
              <w:rPr>
                <w:b w:val="0"/>
                <w:color w:val="0B0B0B"/>
                <w:sz w:val="14"/>
              </w:rPr>
              <w:t>JSW Hydro Energy Ltd</w:t>
            </w:r>
          </w:p>
        </w:tc>
        <w:tc>
          <w:tcPr>
            <w:tcW w:type="dxa" w:w="1251"/>
          </w:tcPr>
          <w:p>
            <w:pPr>
              <w:spacing w:before="32" w:after="32" w:line="240" w:lineRule="auto"/>
              <w:jc w:val="right"/>
            </w:pPr>
            <w:r>
              <w:rPr>
                <w:b w:val="0"/>
                <w:color w:val="0B0B0B"/>
                <w:sz w:val="14"/>
              </w:rPr>
              <w:t>Subsidiary</w:t>
            </w:r>
          </w:p>
        </w:tc>
        <w:tc>
          <w:tcPr>
            <w:tcW w:type="dxa" w:w="658"/>
          </w:tcPr>
          <w:p>
            <w:pPr>
              <w:spacing w:before="32" w:after="32" w:line="240" w:lineRule="auto"/>
              <w:jc w:val="right"/>
            </w:pPr>
            <w:r>
              <w:rPr>
                <w:b w:val="0"/>
                <w:color w:val="0B0B0B"/>
                <w:sz w:val="14"/>
              </w:rPr>
              <w:t>100%</w:t>
            </w:r>
          </w:p>
        </w:tc>
        <w:tc>
          <w:tcPr>
            <w:tcW w:type="dxa" w:w="3358"/>
          </w:tcPr>
          <w:p>
            <w:pPr>
              <w:spacing w:before="32" w:after="32" w:line="240" w:lineRule="auto"/>
              <w:jc w:val="right"/>
            </w:pPr>
            <w:r>
              <w:rPr>
                <w:b w:val="0"/>
                <w:color w:val="0B0B0B"/>
                <w:sz w:val="14"/>
              </w:rPr>
              <w:t>Karcham Wangtoo 1,091MW, Baspa II 300MW</w:t>
            </w:r>
          </w:p>
        </w:tc>
        <w:tc>
          <w:tcPr>
            <w:tcW w:type="dxa" w:w="1251"/>
          </w:tcPr>
          <w:p>
            <w:pPr>
              <w:spacing w:before="32" w:after="32" w:line="240" w:lineRule="auto"/>
              <w:jc w:val="right"/>
            </w:pPr>
            <w:r>
              <w:rPr>
                <w:b w:val="0"/>
                <w:color w:val="0B0B0B"/>
                <w:sz w:val="14"/>
              </w:rPr>
              <w:t>2011 / 2006</w:t>
            </w:r>
          </w:p>
        </w:tc>
        <w:tc>
          <w:tcPr>
            <w:tcW w:type="dxa" w:w="922"/>
          </w:tcPr>
          <w:p>
            <w:pPr>
              <w:spacing w:before="32" w:after="32" w:line="240" w:lineRule="auto"/>
              <w:jc w:val="right"/>
            </w:pPr>
            <w:r>
              <w:rPr>
                <w:b w:val="0"/>
                <w:color w:val="0B0B0B"/>
                <w:sz w:val="14"/>
              </w:rPr>
              <w:t>1,112</w:t>
            </w:r>
          </w:p>
        </w:tc>
        <w:tc>
          <w:tcPr>
            <w:tcW w:type="dxa" w:w="922"/>
          </w:tcPr>
          <w:p>
            <w:pPr>
              <w:spacing w:before="32" w:after="32" w:line="240" w:lineRule="auto"/>
              <w:jc w:val="right"/>
            </w:pPr>
            <w:r>
              <w:rPr>
                <w:b w:val="0"/>
                <w:color w:val="0B0B0B"/>
                <w:sz w:val="14"/>
              </w:rPr>
              <w:t>1,077</w:t>
            </w:r>
          </w:p>
        </w:tc>
      </w:tr>
      <w:tr>
        <w:tc>
          <w:tcPr>
            <w:tcW w:type="dxa" w:w="1843"/>
            <w:shd w:val="clear" w:color="auto" w:fill="EEF3FA"/>
          </w:tcPr>
          <w:p>
            <w:pPr>
              <w:spacing w:before="32" w:after="32" w:line="240" w:lineRule="auto"/>
              <w:jc w:val="left"/>
            </w:pPr>
            <w:r>
              <w:rPr>
                <w:b w:val="0"/>
                <w:color w:val="0B0B0B"/>
                <w:sz w:val="14"/>
              </w:rPr>
              <w:t>JSW Energy (Kutehr) Ltd</w:t>
            </w:r>
          </w:p>
        </w:tc>
        <w:tc>
          <w:tcPr>
            <w:tcW w:type="dxa" w:w="1251"/>
            <w:shd w:val="clear" w:color="auto" w:fill="EEF3FA"/>
          </w:tcPr>
          <w:p>
            <w:pPr>
              <w:spacing w:before="32" w:after="32" w:line="240" w:lineRule="auto"/>
              <w:jc w:val="right"/>
            </w:pPr>
            <w:r>
              <w:rPr>
                <w:b w:val="0"/>
                <w:color w:val="0B0B0B"/>
                <w:sz w:val="14"/>
              </w:rPr>
              <w:t>Step-down (under JSW Hydro)</w:t>
            </w:r>
          </w:p>
        </w:tc>
        <w:tc>
          <w:tcPr>
            <w:tcW w:type="dxa" w:w="658"/>
            <w:shd w:val="clear" w:color="auto" w:fill="EEF3FA"/>
          </w:tcPr>
          <w:p>
            <w:pPr>
              <w:spacing w:before="32" w:after="32" w:line="240" w:lineRule="auto"/>
              <w:jc w:val="right"/>
            </w:pPr>
            <w:r>
              <w:rPr>
                <w:b w:val="0"/>
                <w:color w:val="0B0B0B"/>
                <w:sz w:val="14"/>
              </w:rPr>
              <w:t>100%</w:t>
            </w:r>
          </w:p>
        </w:tc>
        <w:tc>
          <w:tcPr>
            <w:tcW w:type="dxa" w:w="3358"/>
            <w:shd w:val="clear" w:color="auto" w:fill="EEF3FA"/>
          </w:tcPr>
          <w:p>
            <w:pPr>
              <w:spacing w:before="32" w:after="32" w:line="240" w:lineRule="auto"/>
              <w:jc w:val="right"/>
            </w:pPr>
            <w:r>
              <w:rPr>
                <w:b w:val="0"/>
                <w:color w:val="0B0B0B"/>
                <w:sz w:val="14"/>
              </w:rPr>
              <w:t>240MW hydro, 35+35yr Haryana PPA</w:t>
            </w:r>
          </w:p>
        </w:tc>
        <w:tc>
          <w:tcPr>
            <w:tcW w:type="dxa" w:w="1251"/>
            <w:shd w:val="clear" w:color="auto" w:fill="EEF3FA"/>
          </w:tcPr>
          <w:p>
            <w:pPr>
              <w:spacing w:before="32" w:after="32" w:line="240" w:lineRule="auto"/>
              <w:jc w:val="right"/>
            </w:pPr>
            <w:r>
              <w:rPr>
                <w:b w:val="0"/>
                <w:color w:val="0B0B0B"/>
                <w:sz w:val="14"/>
              </w:rPr>
              <w:t>CoD FY26</w:t>
            </w:r>
          </w:p>
        </w:tc>
        <w:tc>
          <w:tcPr>
            <w:tcW w:type="dxa" w:w="922"/>
            <w:shd w:val="clear" w:color="auto" w:fill="EEF3FA"/>
          </w:tcPr>
          <w:p>
            <w:pPr>
              <w:spacing w:before="32" w:after="32" w:line="240" w:lineRule="auto"/>
              <w:jc w:val="right"/>
            </w:pPr>
            <w:r>
              <w:rPr>
                <w:b w:val="0"/>
                <w:color w:val="0B0B0B"/>
                <w:sz w:val="14"/>
              </w:rPr>
              <w:t>incl. in hydro</w:t>
            </w:r>
          </w:p>
        </w:tc>
        <w:tc>
          <w:tcPr>
            <w:tcW w:type="dxa" w:w="922"/>
            <w:shd w:val="clear" w:color="auto" w:fill="EEF3FA"/>
          </w:tcPr>
          <w:p>
            <w:pPr>
              <w:spacing w:before="32" w:after="32" w:line="240" w:lineRule="auto"/>
              <w:jc w:val="right"/>
            </w:pPr>
            <w:r>
              <w:rPr>
                <w:b w:val="0"/>
                <w:color w:val="0B0B0B"/>
                <w:sz w:val="14"/>
              </w:rPr>
              <w:t>incl.</w:t>
            </w:r>
          </w:p>
        </w:tc>
      </w:tr>
      <w:tr>
        <w:tc>
          <w:tcPr>
            <w:tcW w:type="dxa" w:w="1843"/>
          </w:tcPr>
          <w:p>
            <w:pPr>
              <w:spacing w:before="32" w:after="32" w:line="240" w:lineRule="auto"/>
              <w:jc w:val="left"/>
            </w:pPr>
            <w:r>
              <w:rPr>
                <w:b w:val="0"/>
                <w:color w:val="0B0B0B"/>
                <w:sz w:val="14"/>
              </w:rPr>
              <w:t>Tidong Power Generation</w:t>
            </w:r>
          </w:p>
        </w:tc>
        <w:tc>
          <w:tcPr>
            <w:tcW w:type="dxa" w:w="1251"/>
          </w:tcPr>
          <w:p>
            <w:pPr>
              <w:spacing w:before="32" w:after="32" w:line="240" w:lineRule="auto"/>
              <w:jc w:val="right"/>
            </w:pPr>
            <w:r>
              <w:rPr>
                <w:b w:val="0"/>
                <w:color w:val="0B0B0B"/>
                <w:sz w:val="14"/>
              </w:rPr>
              <w:t>Step-down</w:t>
            </w:r>
          </w:p>
        </w:tc>
        <w:tc>
          <w:tcPr>
            <w:tcW w:type="dxa" w:w="658"/>
          </w:tcPr>
          <w:p>
            <w:pPr>
              <w:spacing w:before="32" w:after="32" w:line="240" w:lineRule="auto"/>
              <w:jc w:val="right"/>
            </w:pPr>
            <w:r>
              <w:rPr>
                <w:b w:val="0"/>
                <w:color w:val="0B0B0B"/>
                <w:sz w:val="14"/>
              </w:rPr>
              <w:t>100%</w:t>
            </w:r>
          </w:p>
        </w:tc>
        <w:tc>
          <w:tcPr>
            <w:tcW w:type="dxa" w:w="3358"/>
          </w:tcPr>
          <w:p>
            <w:pPr>
              <w:spacing w:before="32" w:after="32" w:line="240" w:lineRule="auto"/>
              <w:jc w:val="right"/>
            </w:pPr>
            <w:r>
              <w:rPr>
                <w:b w:val="0"/>
                <w:color w:val="0B0B0B"/>
                <w:sz w:val="14"/>
              </w:rPr>
              <w:t>150MW hydro, acquired from Statkraft</w:t>
            </w:r>
          </w:p>
        </w:tc>
        <w:tc>
          <w:tcPr>
            <w:tcW w:type="dxa" w:w="1251"/>
          </w:tcPr>
          <w:p>
            <w:pPr>
              <w:spacing w:before="32" w:after="32" w:line="240" w:lineRule="auto"/>
              <w:jc w:val="right"/>
            </w:pPr>
            <w:r>
              <w:rPr>
                <w:b w:val="0"/>
                <w:color w:val="0B0B0B"/>
                <w:sz w:val="14"/>
              </w:rPr>
              <w:t>50MW CoD 8 May 2026</w:t>
            </w:r>
          </w:p>
        </w:tc>
        <w:tc>
          <w:tcPr>
            <w:tcW w:type="dxa" w:w="922"/>
          </w:tcPr>
          <w:p>
            <w:pPr>
              <w:spacing w:before="32" w:after="32" w:line="240" w:lineRule="auto"/>
              <w:jc w:val="right"/>
            </w:pPr>
            <w:r>
              <w:rPr>
                <w:b w:val="0"/>
                <w:color w:val="0B0B0B"/>
                <w:sz w:val="14"/>
              </w:rPr>
              <w:t>not yet material</w:t>
            </w:r>
          </w:p>
        </w:tc>
        <w:tc>
          <w:tcPr>
            <w:tcW w:type="dxa" w:w="922"/>
          </w:tcPr>
          <w:p>
            <w:pPr>
              <w:spacing w:before="32" w:after="32" w:line="240" w:lineRule="auto"/>
              <w:jc w:val="right"/>
            </w:pPr>
            <w:r>
              <w:rPr>
                <w:b w:val="0"/>
                <w:color w:val="0B0B0B"/>
                <w:sz w:val="14"/>
              </w:rPr>
              <w:t>—</w:t>
            </w:r>
          </w:p>
        </w:tc>
      </w:tr>
      <w:tr>
        <w:tc>
          <w:tcPr>
            <w:tcW w:type="dxa" w:w="1843"/>
            <w:shd w:val="clear" w:color="auto" w:fill="EEF3FA"/>
          </w:tcPr>
          <w:p>
            <w:pPr>
              <w:spacing w:before="32" w:after="32" w:line="240" w:lineRule="auto"/>
              <w:jc w:val="left"/>
            </w:pPr>
            <w:r>
              <w:rPr>
                <w:b w:val="0"/>
                <w:color w:val="0B0B0B"/>
                <w:sz w:val="14"/>
              </w:rPr>
              <w:t>JSW Neo Energy Ltd</w:t>
            </w:r>
          </w:p>
        </w:tc>
        <w:tc>
          <w:tcPr>
            <w:tcW w:type="dxa" w:w="1251"/>
            <w:shd w:val="clear" w:color="auto" w:fill="EEF3FA"/>
          </w:tcPr>
          <w:p>
            <w:pPr>
              <w:spacing w:before="32" w:after="32" w:line="240" w:lineRule="auto"/>
              <w:jc w:val="right"/>
            </w:pPr>
            <w:r>
              <w:rPr>
                <w:b w:val="0"/>
                <w:color w:val="0B0B0B"/>
                <w:sz w:val="14"/>
              </w:rPr>
              <w:t>Subsidiary (holdco)</w:t>
            </w:r>
          </w:p>
        </w:tc>
        <w:tc>
          <w:tcPr>
            <w:tcW w:type="dxa" w:w="658"/>
            <w:shd w:val="clear" w:color="auto" w:fill="EEF3FA"/>
          </w:tcPr>
          <w:p>
            <w:pPr>
              <w:spacing w:before="32" w:after="32" w:line="240" w:lineRule="auto"/>
              <w:jc w:val="right"/>
            </w:pPr>
            <w:r>
              <w:rPr>
                <w:b w:val="0"/>
                <w:color w:val="0B0B0B"/>
                <w:sz w:val="14"/>
              </w:rPr>
              <w:t>100%</w:t>
            </w:r>
          </w:p>
        </w:tc>
        <w:tc>
          <w:tcPr>
            <w:tcW w:type="dxa" w:w="3358"/>
            <w:shd w:val="clear" w:color="auto" w:fill="EEF3FA"/>
          </w:tcPr>
          <w:p>
            <w:pPr>
              <w:spacing w:before="32" w:after="32" w:line="240" w:lineRule="auto"/>
              <w:jc w:val="right"/>
            </w:pPr>
            <w:r>
              <w:rPr>
                <w:b w:val="0"/>
                <w:color w:val="0B0B0B"/>
                <w:sz w:val="14"/>
              </w:rPr>
              <w:t>All solar, wind, hybrid, BESS and PSP</w:t>
            </w:r>
          </w:p>
        </w:tc>
        <w:tc>
          <w:tcPr>
            <w:tcW w:type="dxa" w:w="1251"/>
            <w:shd w:val="clear" w:color="auto" w:fill="EEF3FA"/>
          </w:tcPr>
          <w:p>
            <w:pPr>
              <w:spacing w:before="32" w:after="32" w:line="240" w:lineRule="auto"/>
              <w:jc w:val="right"/>
            </w:pPr>
            <w:r>
              <w:rPr>
                <w:b w:val="0"/>
                <w:color w:val="0B0B0B"/>
                <w:sz w:val="14"/>
              </w:rPr>
              <w:t>Formed 2020</w:t>
            </w:r>
          </w:p>
        </w:tc>
        <w:tc>
          <w:tcPr>
            <w:tcW w:type="dxa" w:w="922"/>
            <w:shd w:val="clear" w:color="auto" w:fill="EEF3FA"/>
          </w:tcPr>
          <w:p>
            <w:pPr>
              <w:spacing w:before="32" w:after="32" w:line="240" w:lineRule="auto"/>
              <w:jc w:val="right"/>
            </w:pPr>
            <w:r>
              <w:rPr>
                <w:b w:val="0"/>
                <w:color w:val="0B0B0B"/>
                <w:sz w:val="14"/>
              </w:rPr>
              <w:t>4,701</w:t>
            </w:r>
          </w:p>
        </w:tc>
        <w:tc>
          <w:tcPr>
            <w:tcW w:type="dxa" w:w="922"/>
            <w:shd w:val="clear" w:color="auto" w:fill="EEF3FA"/>
          </w:tcPr>
          <w:p>
            <w:pPr>
              <w:spacing w:before="32" w:after="32" w:line="240" w:lineRule="auto"/>
              <w:jc w:val="right"/>
            </w:pPr>
            <w:r>
              <w:rPr>
                <w:b w:val="0"/>
                <w:color w:val="0B0B0B"/>
                <w:sz w:val="14"/>
              </w:rPr>
              <w:t>3,994</w:t>
            </w:r>
          </w:p>
        </w:tc>
      </w:tr>
      <w:tr>
        <w:tc>
          <w:tcPr>
            <w:tcW w:type="dxa" w:w="1843"/>
          </w:tcPr>
          <w:p>
            <w:pPr>
              <w:spacing w:before="32" w:after="32" w:line="240" w:lineRule="auto"/>
              <w:jc w:val="left"/>
            </w:pPr>
            <w:r>
              <w:rPr>
                <w:b w:val="0"/>
                <w:color w:val="0B0B0B"/>
                <w:sz w:val="14"/>
              </w:rPr>
              <w:t>— O2 Power platform</w:t>
            </w:r>
          </w:p>
        </w:tc>
        <w:tc>
          <w:tcPr>
            <w:tcW w:type="dxa" w:w="1251"/>
          </w:tcPr>
          <w:p>
            <w:pPr>
              <w:spacing w:before="32" w:after="32" w:line="240" w:lineRule="auto"/>
              <w:jc w:val="right"/>
            </w:pPr>
            <w:r>
              <w:rPr>
                <w:b w:val="0"/>
                <w:color w:val="0B0B0B"/>
                <w:sz w:val="14"/>
              </w:rPr>
              <w:t>Step-down</w:t>
            </w:r>
          </w:p>
        </w:tc>
        <w:tc>
          <w:tcPr>
            <w:tcW w:type="dxa" w:w="658"/>
          </w:tcPr>
          <w:p>
            <w:pPr>
              <w:spacing w:before="32" w:after="32" w:line="240" w:lineRule="auto"/>
              <w:jc w:val="right"/>
            </w:pPr>
            <w:r>
              <w:rPr>
                <w:b w:val="0"/>
                <w:color w:val="0B0B0B"/>
                <w:sz w:val="14"/>
              </w:rPr>
              <w:t>100%</w:t>
            </w:r>
          </w:p>
        </w:tc>
        <w:tc>
          <w:tcPr>
            <w:tcW w:type="dxa" w:w="3358"/>
          </w:tcPr>
          <w:p>
            <w:pPr>
              <w:spacing w:before="32" w:after="32" w:line="240" w:lineRule="auto"/>
              <w:jc w:val="right"/>
            </w:pPr>
            <w:r>
              <w:rPr>
                <w:b w:val="0"/>
                <w:color w:val="0B0B0B"/>
                <w:sz w:val="14"/>
              </w:rPr>
              <w:t>4.7GW RE platform, EV Rs.12,468cr</w:t>
            </w:r>
          </w:p>
        </w:tc>
        <w:tc>
          <w:tcPr>
            <w:tcW w:type="dxa" w:w="1251"/>
          </w:tcPr>
          <w:p>
            <w:pPr>
              <w:spacing w:before="32" w:after="32" w:line="240" w:lineRule="auto"/>
              <w:jc w:val="right"/>
            </w:pPr>
            <w:r>
              <w:rPr>
                <w:b w:val="0"/>
                <w:color w:val="0B0B0B"/>
                <w:sz w:val="14"/>
              </w:rPr>
              <w:t>Acquired FY26</w:t>
            </w:r>
          </w:p>
        </w:tc>
        <w:tc>
          <w:tcPr>
            <w:tcW w:type="dxa" w:w="922"/>
          </w:tcPr>
          <w:p>
            <w:pPr>
              <w:spacing w:before="32" w:after="32" w:line="240" w:lineRule="auto"/>
              <w:jc w:val="right"/>
            </w:pPr>
            <w:r>
              <w:rPr>
                <w:b w:val="0"/>
                <w:color w:val="0B0B0B"/>
                <w:sz w:val="14"/>
              </w:rPr>
              <w:t>incl. above</w:t>
            </w:r>
          </w:p>
        </w:tc>
        <w:tc>
          <w:tcPr>
            <w:tcW w:type="dxa" w:w="922"/>
          </w:tcPr>
          <w:p>
            <w:pPr>
              <w:spacing w:before="32" w:after="32" w:line="240" w:lineRule="auto"/>
              <w:jc w:val="right"/>
            </w:pPr>
            <w:r>
              <w:rPr>
                <w:b w:val="0"/>
                <w:color w:val="0B0B0B"/>
                <w:sz w:val="14"/>
              </w:rPr>
              <w:t>incl.</w:t>
            </w:r>
          </w:p>
        </w:tc>
      </w:tr>
      <w:tr>
        <w:tc>
          <w:tcPr>
            <w:tcW w:type="dxa" w:w="1843"/>
            <w:shd w:val="clear" w:color="auto" w:fill="EEF3FA"/>
          </w:tcPr>
          <w:p>
            <w:pPr>
              <w:spacing w:before="32" w:after="32" w:line="240" w:lineRule="auto"/>
              <w:jc w:val="left"/>
            </w:pPr>
            <w:r>
              <w:rPr>
                <w:b w:val="0"/>
                <w:color w:val="0B0B0B"/>
                <w:sz w:val="14"/>
              </w:rPr>
              <w:t>— Mytrah Energy</w:t>
            </w:r>
          </w:p>
        </w:tc>
        <w:tc>
          <w:tcPr>
            <w:tcW w:type="dxa" w:w="1251"/>
            <w:shd w:val="clear" w:color="auto" w:fill="EEF3FA"/>
          </w:tcPr>
          <w:p>
            <w:pPr>
              <w:spacing w:before="32" w:after="32" w:line="240" w:lineRule="auto"/>
              <w:jc w:val="right"/>
            </w:pPr>
            <w:r>
              <w:rPr>
                <w:b w:val="0"/>
                <w:color w:val="0B0B0B"/>
                <w:sz w:val="14"/>
              </w:rPr>
              <w:t>Step-down</w:t>
            </w:r>
          </w:p>
        </w:tc>
        <w:tc>
          <w:tcPr>
            <w:tcW w:type="dxa" w:w="658"/>
            <w:shd w:val="clear" w:color="auto" w:fill="EEF3FA"/>
          </w:tcPr>
          <w:p>
            <w:pPr>
              <w:spacing w:before="32" w:after="32" w:line="240" w:lineRule="auto"/>
              <w:jc w:val="right"/>
            </w:pPr>
            <w:r>
              <w:rPr>
                <w:b w:val="0"/>
                <w:color w:val="0B0B0B"/>
                <w:sz w:val="14"/>
              </w:rPr>
              <w:t>100%</w:t>
            </w:r>
          </w:p>
        </w:tc>
        <w:tc>
          <w:tcPr>
            <w:tcW w:type="dxa" w:w="3358"/>
            <w:shd w:val="clear" w:color="auto" w:fill="EEF3FA"/>
          </w:tcPr>
          <w:p>
            <w:pPr>
              <w:spacing w:before="32" w:after="32" w:line="240" w:lineRule="auto"/>
              <w:jc w:val="right"/>
            </w:pPr>
            <w:r>
              <w:rPr>
                <w:b w:val="0"/>
                <w:color w:val="0B0B0B"/>
                <w:sz w:val="14"/>
              </w:rPr>
              <w:t>1,753MW solar and wind</w:t>
            </w:r>
          </w:p>
        </w:tc>
        <w:tc>
          <w:tcPr>
            <w:tcW w:type="dxa" w:w="1251"/>
            <w:shd w:val="clear" w:color="auto" w:fill="EEF3FA"/>
          </w:tcPr>
          <w:p>
            <w:pPr>
              <w:spacing w:before="32" w:after="32" w:line="240" w:lineRule="auto"/>
              <w:jc w:val="right"/>
            </w:pPr>
            <w:r>
              <w:rPr>
                <w:b w:val="0"/>
                <w:color w:val="0B0B0B"/>
                <w:sz w:val="14"/>
              </w:rPr>
              <w:t>Acquired FY23</w:t>
            </w:r>
          </w:p>
        </w:tc>
        <w:tc>
          <w:tcPr>
            <w:tcW w:type="dxa" w:w="922"/>
            <w:shd w:val="clear" w:color="auto" w:fill="EEF3FA"/>
          </w:tcPr>
          <w:p>
            <w:pPr>
              <w:spacing w:before="32" w:after="32" w:line="240" w:lineRule="auto"/>
              <w:jc w:val="right"/>
            </w:pPr>
            <w:r>
              <w:rPr>
                <w:b w:val="0"/>
                <w:color w:val="0B0B0B"/>
                <w:sz w:val="14"/>
              </w:rPr>
              <w:t>incl. above</w:t>
            </w:r>
          </w:p>
        </w:tc>
        <w:tc>
          <w:tcPr>
            <w:tcW w:type="dxa" w:w="922"/>
            <w:shd w:val="clear" w:color="auto" w:fill="EEF3FA"/>
          </w:tcPr>
          <w:p>
            <w:pPr>
              <w:spacing w:before="32" w:after="32" w:line="240" w:lineRule="auto"/>
              <w:jc w:val="right"/>
            </w:pPr>
            <w:r>
              <w:rPr>
                <w:b w:val="0"/>
                <w:color w:val="0B0B0B"/>
                <w:sz w:val="14"/>
              </w:rPr>
              <w:t>incl.</w:t>
            </w:r>
          </w:p>
        </w:tc>
      </w:tr>
      <w:tr>
        <w:tc>
          <w:tcPr>
            <w:tcW w:type="dxa" w:w="1843"/>
          </w:tcPr>
          <w:p>
            <w:pPr>
              <w:spacing w:before="32" w:after="32" w:line="240" w:lineRule="auto"/>
              <w:jc w:val="left"/>
            </w:pPr>
            <w:r>
              <w:rPr>
                <w:b w:val="0"/>
                <w:color w:val="0B0B0B"/>
                <w:sz w:val="14"/>
              </w:rPr>
              <w:t>Jaigad Power Transco Ltd</w:t>
            </w:r>
          </w:p>
        </w:tc>
        <w:tc>
          <w:tcPr>
            <w:tcW w:type="dxa" w:w="1251"/>
          </w:tcPr>
          <w:p>
            <w:pPr>
              <w:spacing w:before="32" w:after="32" w:line="240" w:lineRule="auto"/>
              <w:jc w:val="right"/>
            </w:pPr>
            <w:r>
              <w:rPr>
                <w:b w:val="0"/>
                <w:color w:val="0B0B0B"/>
                <w:sz w:val="14"/>
              </w:rPr>
              <w:t>JV with MSETCL</w:t>
            </w:r>
          </w:p>
        </w:tc>
        <w:tc>
          <w:tcPr>
            <w:tcW w:type="dxa" w:w="658"/>
          </w:tcPr>
          <w:p>
            <w:pPr>
              <w:spacing w:before="32" w:after="32" w:line="240" w:lineRule="auto"/>
              <w:jc w:val="right"/>
            </w:pPr>
            <w:r>
              <w:rPr>
                <w:b w:val="0"/>
                <w:color w:val="0B0B0B"/>
                <w:sz w:val="14"/>
              </w:rPr>
              <w:t>74%</w:t>
            </w:r>
          </w:p>
        </w:tc>
        <w:tc>
          <w:tcPr>
            <w:tcW w:type="dxa" w:w="3358"/>
          </w:tcPr>
          <w:p>
            <w:pPr>
              <w:spacing w:before="32" w:after="32" w:line="240" w:lineRule="auto"/>
              <w:jc w:val="right"/>
            </w:pPr>
            <w:r>
              <w:rPr>
                <w:b w:val="0"/>
                <w:color w:val="0B0B0B"/>
                <w:sz w:val="14"/>
              </w:rPr>
              <w:t>Two 400kV lines, 14% regulated RoE</w:t>
            </w:r>
          </w:p>
        </w:tc>
        <w:tc>
          <w:tcPr>
            <w:tcW w:type="dxa" w:w="1251"/>
          </w:tcPr>
          <w:p>
            <w:pPr>
              <w:spacing w:before="32" w:after="32" w:line="240" w:lineRule="auto"/>
              <w:jc w:val="right"/>
            </w:pPr>
            <w:r>
              <w:rPr>
                <w:b w:val="0"/>
                <w:color w:val="0B0B0B"/>
                <w:sz w:val="14"/>
              </w:rPr>
              <w:t>2010</w:t>
            </w:r>
          </w:p>
        </w:tc>
        <w:tc>
          <w:tcPr>
            <w:tcW w:type="dxa" w:w="922"/>
          </w:tcPr>
          <w:p>
            <w:pPr>
              <w:spacing w:before="32" w:after="32" w:line="240" w:lineRule="auto"/>
              <w:jc w:val="right"/>
            </w:pPr>
            <w:r>
              <w:rPr>
                <w:b w:val="0"/>
                <w:color w:val="0B0B0B"/>
                <w:sz w:val="14"/>
              </w:rPr>
              <w:t>not disclosed</w:t>
            </w:r>
          </w:p>
        </w:tc>
        <w:tc>
          <w:tcPr>
            <w:tcW w:type="dxa" w:w="922"/>
          </w:tcPr>
          <w:p>
            <w:pPr>
              <w:spacing w:before="32" w:after="32" w:line="240" w:lineRule="auto"/>
              <w:jc w:val="right"/>
            </w:pPr>
            <w:r>
              <w:rPr>
                <w:b w:val="0"/>
                <w:color w:val="0B0B0B"/>
                <w:sz w:val="14"/>
              </w:rPr>
              <w:t>in Others</w:t>
            </w:r>
          </w:p>
        </w:tc>
      </w:tr>
      <w:tr>
        <w:tc>
          <w:tcPr>
            <w:tcW w:type="dxa" w:w="1843"/>
            <w:shd w:val="clear" w:color="auto" w:fill="EEF3FA"/>
          </w:tcPr>
          <w:p>
            <w:pPr>
              <w:spacing w:before="32" w:after="32" w:line="240" w:lineRule="auto"/>
              <w:jc w:val="left"/>
            </w:pPr>
            <w:r>
              <w:rPr>
                <w:b w:val="0"/>
                <w:color w:val="0B0B0B"/>
                <w:sz w:val="14"/>
              </w:rPr>
              <w:t>Barmer Lignite Mining Co</w:t>
            </w:r>
          </w:p>
        </w:tc>
        <w:tc>
          <w:tcPr>
            <w:tcW w:type="dxa" w:w="1251"/>
            <w:shd w:val="clear" w:color="auto" w:fill="EEF3FA"/>
          </w:tcPr>
          <w:p>
            <w:pPr>
              <w:spacing w:before="32" w:after="32" w:line="240" w:lineRule="auto"/>
              <w:jc w:val="right"/>
            </w:pPr>
            <w:r>
              <w:rPr>
                <w:b w:val="0"/>
                <w:color w:val="0B0B0B"/>
                <w:sz w:val="14"/>
              </w:rPr>
              <w:t>JV with RSMML</w:t>
            </w:r>
          </w:p>
        </w:tc>
        <w:tc>
          <w:tcPr>
            <w:tcW w:type="dxa" w:w="658"/>
            <w:shd w:val="clear" w:color="auto" w:fill="EEF3FA"/>
          </w:tcPr>
          <w:p>
            <w:pPr>
              <w:spacing w:before="32" w:after="32" w:line="240" w:lineRule="auto"/>
              <w:jc w:val="right"/>
            </w:pPr>
            <w:r>
              <w:rPr>
                <w:b w:val="0"/>
                <w:color w:val="0B0B0B"/>
                <w:sz w:val="14"/>
              </w:rPr>
              <w:t>51%</w:t>
            </w:r>
          </w:p>
        </w:tc>
        <w:tc>
          <w:tcPr>
            <w:tcW w:type="dxa" w:w="3358"/>
            <w:shd w:val="clear" w:color="auto" w:fill="EEF3FA"/>
          </w:tcPr>
          <w:p>
            <w:pPr>
              <w:spacing w:before="32" w:after="32" w:line="240" w:lineRule="auto"/>
              <w:jc w:val="right"/>
            </w:pPr>
            <w:r>
              <w:rPr>
                <w:b w:val="0"/>
                <w:color w:val="0B0B0B"/>
                <w:sz w:val="14"/>
              </w:rPr>
              <w:t>9 MTPA captive lignite for Barmer</w:t>
            </w:r>
          </w:p>
        </w:tc>
        <w:tc>
          <w:tcPr>
            <w:tcW w:type="dxa" w:w="1251"/>
            <w:shd w:val="clear" w:color="auto" w:fill="EEF3FA"/>
          </w:tcPr>
          <w:p>
            <w:pPr>
              <w:spacing w:before="32" w:after="32" w:line="240" w:lineRule="auto"/>
              <w:jc w:val="right"/>
            </w:pPr>
            <w:r>
              <w:rPr>
                <w:b w:val="0"/>
                <w:color w:val="0B0B0B"/>
                <w:sz w:val="14"/>
              </w:rPr>
              <w:t>2007</w:t>
            </w:r>
          </w:p>
        </w:tc>
        <w:tc>
          <w:tcPr>
            <w:tcW w:type="dxa" w:w="922"/>
            <w:shd w:val="clear" w:color="auto" w:fill="EEF3FA"/>
          </w:tcPr>
          <w:p>
            <w:pPr>
              <w:spacing w:before="32" w:after="32" w:line="240" w:lineRule="auto"/>
              <w:jc w:val="right"/>
            </w:pPr>
            <w:r>
              <w:rPr>
                <w:b w:val="0"/>
                <w:color w:val="0B0B0B"/>
                <w:sz w:val="14"/>
              </w:rPr>
              <w:t>not disclosed</w:t>
            </w:r>
          </w:p>
        </w:tc>
        <w:tc>
          <w:tcPr>
            <w:tcW w:type="dxa" w:w="922"/>
            <w:shd w:val="clear" w:color="auto" w:fill="EEF3FA"/>
          </w:tcPr>
          <w:p>
            <w:pPr>
              <w:spacing w:before="32" w:after="32" w:line="240" w:lineRule="auto"/>
              <w:jc w:val="right"/>
            </w:pPr>
            <w:r>
              <w:rPr>
                <w:b w:val="0"/>
                <w:color w:val="0B0B0B"/>
                <w:sz w:val="14"/>
              </w:rPr>
              <w:t>in Others</w:t>
            </w:r>
          </w:p>
        </w:tc>
      </w:tr>
      <w:tr>
        <w:tc>
          <w:tcPr>
            <w:tcW w:type="dxa" w:w="1843"/>
          </w:tcPr>
          <w:p>
            <w:pPr>
              <w:spacing w:before="32" w:after="32" w:line="240" w:lineRule="auto"/>
              <w:jc w:val="left"/>
            </w:pPr>
            <w:r>
              <w:rPr>
                <w:b w:val="0"/>
                <w:color w:val="0B0B0B"/>
                <w:sz w:val="14"/>
              </w:rPr>
              <w:t>JSW Power Trading Co Ltd</w:t>
            </w:r>
          </w:p>
        </w:tc>
        <w:tc>
          <w:tcPr>
            <w:tcW w:type="dxa" w:w="1251"/>
          </w:tcPr>
          <w:p>
            <w:pPr>
              <w:spacing w:before="32" w:after="32" w:line="240" w:lineRule="auto"/>
              <w:jc w:val="right"/>
            </w:pPr>
            <w:r>
              <w:rPr>
                <w:b w:val="0"/>
                <w:color w:val="0B0B0B"/>
                <w:sz w:val="14"/>
              </w:rPr>
              <w:t>Subsidiary</w:t>
            </w:r>
          </w:p>
        </w:tc>
        <w:tc>
          <w:tcPr>
            <w:tcW w:type="dxa" w:w="658"/>
          </w:tcPr>
          <w:p>
            <w:pPr>
              <w:spacing w:before="32" w:after="32" w:line="240" w:lineRule="auto"/>
              <w:jc w:val="right"/>
            </w:pPr>
            <w:r>
              <w:rPr>
                <w:b w:val="0"/>
                <w:color w:val="0B0B0B"/>
                <w:sz w:val="14"/>
              </w:rPr>
              <w:t>100%</w:t>
            </w:r>
          </w:p>
        </w:tc>
        <w:tc>
          <w:tcPr>
            <w:tcW w:type="dxa" w:w="3358"/>
          </w:tcPr>
          <w:p>
            <w:pPr>
              <w:spacing w:before="32" w:after="32" w:line="240" w:lineRule="auto"/>
              <w:jc w:val="right"/>
            </w:pPr>
            <w:r>
              <w:rPr>
                <w:b w:val="0"/>
                <w:color w:val="0B0B0B"/>
                <w:sz w:val="14"/>
              </w:rPr>
              <w:t>Merchant and exchange sales desk</w:t>
            </w:r>
          </w:p>
        </w:tc>
        <w:tc>
          <w:tcPr>
            <w:tcW w:type="dxa" w:w="1251"/>
          </w:tcPr>
          <w:p>
            <w:pPr>
              <w:spacing w:before="32" w:after="32" w:line="240" w:lineRule="auto"/>
              <w:jc w:val="right"/>
            </w:pPr>
            <w:r>
              <w:rPr>
                <w:b w:val="0"/>
                <w:color w:val="0B0B0B"/>
                <w:sz w:val="14"/>
              </w:rPr>
              <w:t>2006</w:t>
            </w:r>
          </w:p>
        </w:tc>
        <w:tc>
          <w:tcPr>
            <w:tcW w:type="dxa" w:w="922"/>
          </w:tcPr>
          <w:p>
            <w:pPr>
              <w:spacing w:before="32" w:after="32" w:line="240" w:lineRule="auto"/>
              <w:jc w:val="right"/>
            </w:pPr>
            <w:r>
              <w:rPr>
                <w:b w:val="0"/>
                <w:color w:val="0B0B0B"/>
                <w:sz w:val="14"/>
              </w:rPr>
              <w:t>not disclosed</w:t>
            </w:r>
          </w:p>
        </w:tc>
        <w:tc>
          <w:tcPr>
            <w:tcW w:type="dxa" w:w="922"/>
          </w:tcPr>
          <w:p>
            <w:pPr>
              <w:spacing w:before="32" w:after="32" w:line="240" w:lineRule="auto"/>
              <w:jc w:val="right"/>
            </w:pPr>
            <w:r>
              <w:rPr>
                <w:b w:val="0"/>
                <w:color w:val="0B0B0B"/>
                <w:sz w:val="14"/>
              </w:rPr>
              <w:t>in Others</w:t>
            </w:r>
          </w:p>
        </w:tc>
      </w:tr>
      <w:tr>
        <w:tc>
          <w:tcPr>
            <w:tcW w:type="dxa" w:w="1843"/>
            <w:shd w:val="clear" w:color="auto" w:fill="EEF3FA"/>
          </w:tcPr>
          <w:p>
            <w:pPr>
              <w:spacing w:before="32" w:after="32" w:line="240" w:lineRule="auto"/>
              <w:jc w:val="left"/>
            </w:pPr>
            <w:r>
              <w:rPr>
                <w:b w:val="0"/>
                <w:color w:val="0B0B0B"/>
                <w:sz w:val="14"/>
              </w:rPr>
              <w:t>South African Coal Mining</w:t>
            </w:r>
          </w:p>
        </w:tc>
        <w:tc>
          <w:tcPr>
            <w:tcW w:type="dxa" w:w="1251"/>
            <w:shd w:val="clear" w:color="auto" w:fill="EEF3FA"/>
          </w:tcPr>
          <w:p>
            <w:pPr>
              <w:spacing w:before="32" w:after="32" w:line="240" w:lineRule="auto"/>
              <w:jc w:val="right"/>
            </w:pPr>
            <w:r>
              <w:rPr>
                <w:b w:val="0"/>
                <w:color w:val="0B0B0B"/>
                <w:sz w:val="14"/>
              </w:rPr>
              <w:t>Subsidiary</w:t>
            </w:r>
          </w:p>
        </w:tc>
        <w:tc>
          <w:tcPr>
            <w:tcW w:type="dxa" w:w="658"/>
            <w:shd w:val="clear" w:color="auto" w:fill="EEF3FA"/>
          </w:tcPr>
          <w:p>
            <w:pPr>
              <w:spacing w:before="32" w:after="32" w:line="240" w:lineRule="auto"/>
              <w:jc w:val="right"/>
            </w:pPr>
            <w:r>
              <w:rPr>
                <w:b w:val="0"/>
                <w:color w:val="0B0B0B"/>
                <w:sz w:val="14"/>
              </w:rPr>
              <w:t>69%</w:t>
            </w:r>
          </w:p>
        </w:tc>
        <w:tc>
          <w:tcPr>
            <w:tcW w:type="dxa" w:w="3358"/>
            <w:shd w:val="clear" w:color="auto" w:fill="EEF3FA"/>
          </w:tcPr>
          <w:p>
            <w:pPr>
              <w:spacing w:before="32" w:after="32" w:line="240" w:lineRule="auto"/>
              <w:jc w:val="right"/>
            </w:pPr>
            <w:r>
              <w:rPr>
                <w:b w:val="0"/>
                <w:color w:val="0B0B0B"/>
                <w:sz w:val="14"/>
              </w:rPr>
              <w:t>Legacy overseas coal holding</w:t>
            </w:r>
          </w:p>
        </w:tc>
        <w:tc>
          <w:tcPr>
            <w:tcW w:type="dxa" w:w="1251"/>
            <w:shd w:val="clear" w:color="auto" w:fill="EEF3FA"/>
          </w:tcPr>
          <w:p>
            <w:pPr>
              <w:spacing w:before="32" w:after="32" w:line="240" w:lineRule="auto"/>
              <w:jc w:val="right"/>
            </w:pPr>
            <w:r>
              <w:rPr>
                <w:b w:val="0"/>
                <w:color w:val="0B0B0B"/>
                <w:sz w:val="14"/>
              </w:rPr>
              <w:t>Legacy</w:t>
            </w:r>
          </w:p>
        </w:tc>
        <w:tc>
          <w:tcPr>
            <w:tcW w:type="dxa" w:w="922"/>
            <w:shd w:val="clear" w:color="auto" w:fill="EEF3FA"/>
          </w:tcPr>
          <w:p>
            <w:pPr>
              <w:spacing w:before="32" w:after="32" w:line="240" w:lineRule="auto"/>
              <w:jc w:val="right"/>
            </w:pPr>
            <w:r>
              <w:rPr>
                <w:b w:val="0"/>
                <w:color w:val="0B0B0B"/>
                <w:sz w:val="14"/>
              </w:rPr>
              <w:t>not disclosed</w:t>
            </w:r>
          </w:p>
        </w:tc>
        <w:tc>
          <w:tcPr>
            <w:tcW w:type="dxa" w:w="922"/>
            <w:shd w:val="clear" w:color="auto" w:fill="EEF3FA"/>
          </w:tcPr>
          <w:p>
            <w:pPr>
              <w:spacing w:before="32" w:after="32" w:line="240" w:lineRule="auto"/>
              <w:jc w:val="right"/>
            </w:pPr>
            <w:r>
              <w:rPr>
                <w:b w:val="0"/>
                <w:color w:val="0B0B0B"/>
                <w:sz w:val="14"/>
              </w:rPr>
              <w:t>in Others</w:t>
            </w:r>
          </w:p>
        </w:tc>
      </w:tr>
      <w:tr>
        <w:tc>
          <w:tcPr>
            <w:tcW w:type="dxa" w:w="1843"/>
          </w:tcPr>
          <w:p>
            <w:pPr>
              <w:spacing w:before="32" w:after="32" w:line="240" w:lineRule="auto"/>
              <w:jc w:val="left"/>
            </w:pPr>
            <w:r>
              <w:rPr>
                <w:b w:val="0"/>
                <w:color w:val="0B0B0B"/>
                <w:sz w:val="14"/>
              </w:rPr>
              <w:t>Others / eliminations</w:t>
            </w:r>
          </w:p>
        </w:tc>
        <w:tc>
          <w:tcPr>
            <w:tcW w:type="dxa" w:w="1251"/>
          </w:tcPr>
          <w:p>
            <w:pPr>
              <w:spacing w:before="32" w:after="32" w:line="240" w:lineRule="auto"/>
              <w:jc w:val="right"/>
            </w:pPr>
            <w:r>
              <w:rPr>
                <w:b w:val="0"/>
                <w:color w:val="0B0B0B"/>
                <w:sz w:val="14"/>
              </w:rPr>
              <w:t>—</w:t>
            </w:r>
          </w:p>
        </w:tc>
        <w:tc>
          <w:tcPr>
            <w:tcW w:type="dxa" w:w="658"/>
          </w:tcPr>
          <w:p>
            <w:pPr>
              <w:spacing w:before="32" w:after="32" w:line="240" w:lineRule="auto"/>
              <w:jc w:val="right"/>
            </w:pPr>
            <w:r>
              <w:rPr>
                <w:b w:val="0"/>
                <w:color w:val="0B0B0B"/>
                <w:sz w:val="14"/>
              </w:rPr>
              <w:t>—</w:t>
            </w:r>
          </w:p>
        </w:tc>
        <w:tc>
          <w:tcPr>
            <w:tcW w:type="dxa" w:w="3358"/>
          </w:tcPr>
          <w:p>
            <w:pPr>
              <w:spacing w:before="32" w:after="32" w:line="240" w:lineRule="auto"/>
              <w:jc w:val="right"/>
            </w:pPr>
            <w:r>
              <w:rPr>
                <w:b w:val="0"/>
                <w:color w:val="0B0B0B"/>
                <w:sz w:val="14"/>
              </w:rPr>
              <w:t>Holdco costs, green hydrogen, solar module project (on hold)</w:t>
            </w:r>
          </w:p>
        </w:tc>
        <w:tc>
          <w:tcPr>
            <w:tcW w:type="dxa" w:w="1251"/>
          </w:tcPr>
          <w:p>
            <w:pPr>
              <w:spacing w:before="32" w:after="32" w:line="240" w:lineRule="auto"/>
              <w:jc w:val="right"/>
            </w:pPr>
            <w:r>
              <w:rPr>
                <w:b w:val="0"/>
                <w:color w:val="0B0B0B"/>
                <w:sz w:val="14"/>
              </w:rPr>
              <w:t>—</w:t>
            </w:r>
          </w:p>
        </w:tc>
        <w:tc>
          <w:tcPr>
            <w:tcW w:type="dxa" w:w="922"/>
          </w:tcPr>
          <w:p>
            <w:pPr>
              <w:spacing w:before="32" w:after="32" w:line="240" w:lineRule="auto"/>
              <w:jc w:val="right"/>
            </w:pPr>
            <w:r>
              <w:rPr>
                <w:b w:val="0"/>
                <w:color w:val="0B0B0B"/>
                <w:sz w:val="14"/>
              </w:rPr>
              <w:t>(307)</w:t>
            </w:r>
          </w:p>
        </w:tc>
        <w:tc>
          <w:tcPr>
            <w:tcW w:type="dxa" w:w="922"/>
          </w:tcPr>
          <w:p>
            <w:pPr>
              <w:spacing w:before="32" w:after="32" w:line="240" w:lineRule="auto"/>
              <w:jc w:val="right"/>
            </w:pPr>
            <w:r>
              <w:rPr>
                <w:b w:val="0"/>
                <w:color w:val="0B0B0B"/>
                <w:sz w:val="14"/>
              </w:rPr>
              <w:t>(642)</w:t>
            </w:r>
          </w:p>
        </w:tc>
      </w:tr>
    </w:tbl>
    <w:p>
      <w:pPr>
        <w:spacing w:before="40" w:after="120"/>
      </w:pPr>
      <w:r>
        <w:rPr>
          <w:b w:val="0"/>
          <w:i/>
          <w:color w:val="8A8880"/>
          <w:sz w:val="14"/>
        </w:rPr>
        <w:t>All entities are consolidated. Entity-level revenue and EBITDA are the reported segment disclosure (EBITDA including other income), which is the finest split published; entity-level PAT is not disclosed and is not in the model — that gap is unresolved here rather than estimated. Kutehr sits inside the hydro segment and the acquired platforms inside renewables.</w:t>
      </w:r>
    </w:p>
    <w:p>
      <w:pPr>
        <w:spacing w:before="0" w:after="100"/>
      </w:pPr>
      <w:r>
        <w:rPr>
          <w:b w:val="0"/>
          <w:i w:val="0"/>
          <w:color w:val="0B0B0B"/>
          <w:sz w:val="17"/>
        </w:rPr>
        <w:t>Which entity actually earns the money? KSK Mahanadi — acquired 17 months ago, 74% owned but with a call option now served on the remaining 26% — was the largest single contributor in FY26A at Rs.3,343cr of segment EBITDA, ahead of the whole renewable portfolio at Rs.3,994cr and more than the listed standalone entity's Rs.1,957cr. Why each other entity exists: Barmer and Jaigad Transco are regulated-return vehicles built to house cost-plus assets; Ind-Barath and KSK were distressed-asset purchases bought for cash flow at a discount to replacement cost; JSW Neo exists to ring-fence renewable project debt from the thermal balance sheet and to give the group a separately financeable — and eventually separately listable — renewable platform.</w:t>
      </w:r>
    </w:p>
    <w:p>
      <w:pPr>
        <w:spacing w:before="0" w:after="100"/>
      </w:pPr>
      <w:r>
        <w:rPr>
          <w:b w:val="0"/>
          <w:i w:val="0"/>
          <w:color w:val="0B0B0B"/>
          <w:sz w:val="17"/>
        </w:rPr>
        <w:t>Which entities absorb capital without revenue? The 'Others' segment lost Rs.642cr of EBITDA in FY26A against negative Rs.307cr of revenue. It carries holdco costs, the 3,800 tpa green hydrogen project for Tata Steel, and a 1GW solar PV module plant that the model's own tracker marks 'Project on Hold' after Rs.1,600cr of planned capex. The 500MW/1,000MWh SECI BESS-1 project, with a July 2022 letter of award, is marked 'Project under Dispute' and the model explicitly assumes no impairment against it. Name changes and reorganisations in the period: RajWest Power became JSW Energy (Barmer); KSK Mahanadi Power Company was acquired through insolvency and now sits under JSW Thermal Energy One Ltd.</w:t>
      </w:r>
    </w:p>
    <w:p>
      <w:pPr>
        <w:keepNext/>
        <w:spacing w:before="180" w:after="40"/>
      </w:pPr>
      <w:r>
        <w:rPr>
          <w:b/>
          <w:color w:val="1F3864"/>
          <w:sz w:val="21"/>
        </w:rPr>
        <w:t>4.  Revenue &amp; EBITDA Margin — Business Cycles</w:t>
      </w:r>
    </w:p>
    <w:p>
      <w:pPr>
        <w:spacing w:before="0" w:after="100"/>
      </w:pPr>
      <w:r>
        <w:rPr>
          <w:b w:val="0"/>
          <w:i w:val="0"/>
          <w:color w:val="0B0B0B"/>
          <w:sz w:val="17"/>
        </w:rPr>
        <w:t>Segmenting the full listed history produces six cycles. Each is defined by what the company was building and how it was paying for it.</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1994"/>
        <w:gridCol w:w="1290"/>
        <w:gridCol w:w="997"/>
        <w:gridCol w:w="1114"/>
        <w:gridCol w:w="821"/>
        <w:gridCol w:w="3988"/>
      </w:tblGrid>
      <w:tr>
        <w:tc>
          <w:tcPr>
            <w:tcW w:type="dxa" w:w="1994"/>
            <w:shd w:val="clear" w:color="auto" w:fill="1F3864"/>
          </w:tcPr>
          <w:p>
            <w:pPr>
              <w:spacing w:before="50" w:after="50"/>
              <w:jc w:val="left"/>
            </w:pPr>
            <w:r>
              <w:rPr>
                <w:b/>
                <w:color w:val="FFFFFF"/>
                <w:sz w:val="14"/>
              </w:rPr>
              <w:t>Cycle</w:t>
            </w:r>
          </w:p>
        </w:tc>
        <w:tc>
          <w:tcPr>
            <w:tcW w:type="dxa" w:w="1290"/>
            <w:shd w:val="clear" w:color="auto" w:fill="1F3864"/>
          </w:tcPr>
          <w:p>
            <w:pPr>
              <w:spacing w:before="50" w:after="50"/>
              <w:jc w:val="right"/>
            </w:pPr>
            <w:r>
              <w:rPr>
                <w:b/>
                <w:color w:val="FFFFFF"/>
                <w:sz w:val="14"/>
              </w:rPr>
              <w:t>Revenue (Rs.cr)</w:t>
            </w:r>
          </w:p>
        </w:tc>
        <w:tc>
          <w:tcPr>
            <w:tcW w:type="dxa" w:w="997"/>
            <w:shd w:val="clear" w:color="auto" w:fill="1F3864"/>
          </w:tcPr>
          <w:p>
            <w:pPr>
              <w:spacing w:before="50" w:after="50"/>
              <w:jc w:val="right"/>
            </w:pPr>
            <w:r>
              <w:rPr>
                <w:b/>
                <w:color w:val="FFFFFF"/>
                <w:sz w:val="14"/>
              </w:rPr>
              <w:t>EBITDA margin</w:t>
            </w:r>
          </w:p>
        </w:tc>
        <w:tc>
          <w:tcPr>
            <w:tcW w:type="dxa" w:w="1114"/>
            <w:shd w:val="clear" w:color="auto" w:fill="1F3864"/>
          </w:tcPr>
          <w:p>
            <w:pPr>
              <w:spacing w:before="50" w:after="50"/>
              <w:jc w:val="right"/>
            </w:pPr>
            <w:r>
              <w:rPr>
                <w:b/>
                <w:color w:val="FFFFFF"/>
                <w:sz w:val="14"/>
              </w:rPr>
              <w:t>Net debt/EBITDA</w:t>
            </w:r>
          </w:p>
        </w:tc>
        <w:tc>
          <w:tcPr>
            <w:tcW w:type="dxa" w:w="821"/>
            <w:shd w:val="clear" w:color="auto" w:fill="1F3864"/>
          </w:tcPr>
          <w:p>
            <w:pPr>
              <w:spacing w:before="50" w:after="50"/>
              <w:jc w:val="right"/>
            </w:pPr>
            <w:r>
              <w:rPr>
                <w:b/>
                <w:color w:val="FFFFFF"/>
                <w:sz w:val="14"/>
              </w:rPr>
              <w:t>ROCE</w:t>
            </w:r>
          </w:p>
        </w:tc>
        <w:tc>
          <w:tcPr>
            <w:tcW w:type="dxa" w:w="3988"/>
            <w:shd w:val="clear" w:color="auto" w:fill="1F3864"/>
          </w:tcPr>
          <w:p>
            <w:pPr>
              <w:spacing w:before="50" w:after="50"/>
              <w:jc w:val="right"/>
            </w:pPr>
            <w:r>
              <w:rPr>
                <w:b/>
                <w:color w:val="FFFFFF"/>
                <w:sz w:val="14"/>
              </w:rPr>
              <w:t>What happened</w:t>
            </w:r>
          </w:p>
        </w:tc>
      </w:tr>
      <w:tr>
        <w:tc>
          <w:tcPr>
            <w:tcW w:type="dxa" w:w="1994"/>
          </w:tcPr>
          <w:p>
            <w:pPr>
              <w:spacing w:before="32" w:after="32" w:line="240" w:lineRule="auto"/>
              <w:jc w:val="left"/>
            </w:pPr>
            <w:r>
              <w:rPr>
                <w:b w:val="0"/>
                <w:color w:val="0B0B0B"/>
                <w:sz w:val="14"/>
              </w:rPr>
              <w:t>1. FY05–FY08  Captive merchant</w:t>
            </w:r>
          </w:p>
        </w:tc>
        <w:tc>
          <w:tcPr>
            <w:tcW w:type="dxa" w:w="1290"/>
          </w:tcPr>
          <w:p>
            <w:pPr>
              <w:spacing w:before="32" w:after="32" w:line="240" w:lineRule="auto"/>
              <w:jc w:val="right"/>
            </w:pPr>
            <w:r>
              <w:rPr>
                <w:b w:val="0"/>
                <w:color w:val="0B0B0B"/>
                <w:sz w:val="14"/>
              </w:rPr>
              <w:t>491 → 1,574</w:t>
            </w:r>
          </w:p>
        </w:tc>
        <w:tc>
          <w:tcPr>
            <w:tcW w:type="dxa" w:w="997"/>
          </w:tcPr>
          <w:p>
            <w:pPr>
              <w:spacing w:before="32" w:after="32" w:line="240" w:lineRule="auto"/>
              <w:jc w:val="right"/>
            </w:pPr>
            <w:r>
              <w:rPr>
                <w:b w:val="0"/>
                <w:color w:val="0B0B0B"/>
                <w:sz w:val="14"/>
              </w:rPr>
              <w:t>44% → 74%</w:t>
            </w:r>
          </w:p>
        </w:tc>
        <w:tc>
          <w:tcPr>
            <w:tcW w:type="dxa" w:w="1114"/>
          </w:tcPr>
          <w:p>
            <w:pPr>
              <w:spacing w:before="32" w:after="32" w:line="240" w:lineRule="auto"/>
              <w:jc w:val="right"/>
            </w:pPr>
            <w:r>
              <w:rPr>
                <w:b w:val="0"/>
                <w:color w:val="0B0B0B"/>
                <w:sz w:val="14"/>
              </w:rPr>
              <w:t>2.9x → 1.7x</w:t>
            </w:r>
          </w:p>
        </w:tc>
        <w:tc>
          <w:tcPr>
            <w:tcW w:type="dxa" w:w="821"/>
          </w:tcPr>
          <w:p>
            <w:pPr>
              <w:spacing w:before="32" w:after="32" w:line="240" w:lineRule="auto"/>
              <w:jc w:val="right"/>
            </w:pPr>
            <w:r>
              <w:rPr>
                <w:b w:val="0"/>
                <w:color w:val="0B0B0B"/>
                <w:sz w:val="14"/>
              </w:rPr>
              <w:t>7% → 29%</w:t>
            </w:r>
          </w:p>
        </w:tc>
        <w:tc>
          <w:tcPr>
            <w:tcW w:type="dxa" w:w="3988"/>
          </w:tcPr>
          <w:p>
            <w:pPr>
              <w:spacing w:before="32" w:after="32" w:line="240" w:lineRule="auto"/>
              <w:jc w:val="right"/>
            </w:pPr>
            <w:r>
              <w:rPr>
                <w:b w:val="0"/>
                <w:color w:val="0B0B0B"/>
                <w:sz w:val="14"/>
              </w:rPr>
              <w:t>Vijayanagar only, merchant and captive. Peak-cycle tariffs; the best margins ever earned.</w:t>
            </w:r>
          </w:p>
        </w:tc>
      </w:tr>
      <w:tr>
        <w:tc>
          <w:tcPr>
            <w:tcW w:type="dxa" w:w="1994"/>
            <w:shd w:val="clear" w:color="auto" w:fill="EEF3FA"/>
          </w:tcPr>
          <w:p>
            <w:pPr>
              <w:spacing w:before="32" w:after="32" w:line="240" w:lineRule="auto"/>
              <w:jc w:val="left"/>
            </w:pPr>
            <w:r>
              <w:rPr>
                <w:b w:val="0"/>
                <w:color w:val="0B0B0B"/>
                <w:sz w:val="14"/>
              </w:rPr>
              <w:t>2. FY09–FY13  The first build</w:t>
            </w:r>
          </w:p>
        </w:tc>
        <w:tc>
          <w:tcPr>
            <w:tcW w:type="dxa" w:w="1290"/>
            <w:shd w:val="clear" w:color="auto" w:fill="EEF3FA"/>
          </w:tcPr>
          <w:p>
            <w:pPr>
              <w:spacing w:before="32" w:after="32" w:line="240" w:lineRule="auto"/>
              <w:jc w:val="right"/>
            </w:pPr>
            <w:r>
              <w:rPr>
                <w:b w:val="0"/>
                <w:color w:val="0B0B0B"/>
                <w:sz w:val="14"/>
              </w:rPr>
              <w:t>1,591 → 8,934</w:t>
            </w:r>
          </w:p>
        </w:tc>
        <w:tc>
          <w:tcPr>
            <w:tcW w:type="dxa" w:w="997"/>
            <w:shd w:val="clear" w:color="auto" w:fill="EEF3FA"/>
          </w:tcPr>
          <w:p>
            <w:pPr>
              <w:spacing w:before="32" w:after="32" w:line="240" w:lineRule="auto"/>
              <w:jc w:val="right"/>
            </w:pPr>
            <w:r>
              <w:rPr>
                <w:b w:val="0"/>
                <w:color w:val="0B0B0B"/>
                <w:sz w:val="14"/>
              </w:rPr>
              <w:t>18% → 31%</w:t>
            </w:r>
          </w:p>
        </w:tc>
        <w:tc>
          <w:tcPr>
            <w:tcW w:type="dxa" w:w="1114"/>
            <w:shd w:val="clear" w:color="auto" w:fill="EEF3FA"/>
          </w:tcPr>
          <w:p>
            <w:pPr>
              <w:spacing w:before="32" w:after="32" w:line="240" w:lineRule="auto"/>
              <w:jc w:val="right"/>
            </w:pPr>
            <w:r>
              <w:rPr>
                <w:b w:val="0"/>
                <w:color w:val="0B0B0B"/>
                <w:sz w:val="14"/>
              </w:rPr>
              <w:t>20.0x → 3.6x</w:t>
            </w:r>
          </w:p>
        </w:tc>
        <w:tc>
          <w:tcPr>
            <w:tcW w:type="dxa" w:w="821"/>
            <w:shd w:val="clear" w:color="auto" w:fill="EEF3FA"/>
          </w:tcPr>
          <w:p>
            <w:pPr>
              <w:spacing w:before="32" w:after="32" w:line="240" w:lineRule="auto"/>
              <w:jc w:val="right"/>
            </w:pPr>
            <w:r>
              <w:rPr>
                <w:b w:val="0"/>
                <w:color w:val="0B0B0B"/>
                <w:sz w:val="14"/>
              </w:rPr>
              <w:t>2% → 9%</w:t>
            </w:r>
          </w:p>
        </w:tc>
        <w:tc>
          <w:tcPr>
            <w:tcW w:type="dxa" w:w="3988"/>
            <w:shd w:val="clear" w:color="auto" w:fill="EEF3FA"/>
          </w:tcPr>
          <w:p>
            <w:pPr>
              <w:spacing w:before="32" w:after="32" w:line="240" w:lineRule="auto"/>
              <w:jc w:val="right"/>
            </w:pPr>
            <w:r>
              <w:rPr>
                <w:b w:val="0"/>
                <w:color w:val="0B0B0B"/>
                <w:sz w:val="14"/>
              </w:rPr>
              <w:t>Ratnagiri and Barmer commissioned; debt to Rs.10,377cr. Margin collapsed to 18% in FY09 on imported coal.</w:t>
            </w:r>
          </w:p>
        </w:tc>
      </w:tr>
      <w:tr>
        <w:tc>
          <w:tcPr>
            <w:tcW w:type="dxa" w:w="1994"/>
          </w:tcPr>
          <w:p>
            <w:pPr>
              <w:spacing w:before="32" w:after="32" w:line="240" w:lineRule="auto"/>
              <w:jc w:val="left"/>
            </w:pPr>
            <w:r>
              <w:rPr>
                <w:b w:val="0"/>
                <w:color w:val="0B0B0B"/>
                <w:sz w:val="14"/>
              </w:rPr>
              <w:t>3. FY14–FY19  Stagnation</w:t>
            </w:r>
          </w:p>
        </w:tc>
        <w:tc>
          <w:tcPr>
            <w:tcW w:type="dxa" w:w="1290"/>
          </w:tcPr>
          <w:p>
            <w:pPr>
              <w:spacing w:before="32" w:after="32" w:line="240" w:lineRule="auto"/>
              <w:jc w:val="right"/>
            </w:pPr>
            <w:r>
              <w:rPr>
                <w:b w:val="0"/>
                <w:color w:val="0B0B0B"/>
                <w:sz w:val="14"/>
              </w:rPr>
              <w:t>8,705 → 9,138</w:t>
            </w:r>
          </w:p>
        </w:tc>
        <w:tc>
          <w:tcPr>
            <w:tcW w:type="dxa" w:w="997"/>
          </w:tcPr>
          <w:p>
            <w:pPr>
              <w:spacing w:before="32" w:after="32" w:line="240" w:lineRule="auto"/>
              <w:jc w:val="right"/>
            </w:pPr>
            <w:r>
              <w:rPr>
                <w:b w:val="0"/>
                <w:color w:val="0B0B0B"/>
                <w:sz w:val="14"/>
              </w:rPr>
              <w:t>37% → 31%</w:t>
            </w:r>
          </w:p>
        </w:tc>
        <w:tc>
          <w:tcPr>
            <w:tcW w:type="dxa" w:w="1114"/>
          </w:tcPr>
          <w:p>
            <w:pPr>
              <w:spacing w:before="32" w:after="32" w:line="240" w:lineRule="auto"/>
              <w:jc w:val="right"/>
            </w:pPr>
            <w:r>
              <w:rPr>
                <w:b w:val="0"/>
                <w:color w:val="0B0B0B"/>
                <w:sz w:val="14"/>
              </w:rPr>
              <w:t>2.9x → 3.6x</w:t>
            </w:r>
          </w:p>
        </w:tc>
        <w:tc>
          <w:tcPr>
            <w:tcW w:type="dxa" w:w="821"/>
          </w:tcPr>
          <w:p>
            <w:pPr>
              <w:spacing w:before="32" w:after="32" w:line="240" w:lineRule="auto"/>
              <w:jc w:val="right"/>
            </w:pPr>
            <w:r>
              <w:rPr>
                <w:b w:val="0"/>
                <w:color w:val="0B0B0B"/>
                <w:sz w:val="14"/>
              </w:rPr>
              <w:t>8% → 7%</w:t>
            </w:r>
          </w:p>
        </w:tc>
        <w:tc>
          <w:tcPr>
            <w:tcW w:type="dxa" w:w="3988"/>
          </w:tcPr>
          <w:p>
            <w:pPr>
              <w:spacing w:before="32" w:after="32" w:line="240" w:lineRule="auto"/>
              <w:jc w:val="right"/>
            </w:pPr>
            <w:r>
              <w:rPr>
                <w:b w:val="0"/>
                <w:color w:val="0B0B0B"/>
                <w:sz w:val="14"/>
              </w:rPr>
              <w:t>No new capacity; merchant glut. Vijayanagar PLF 95% to 50%; EBITDA peaked in FY16 and fell for three years.</w:t>
            </w:r>
          </w:p>
        </w:tc>
      </w:tr>
      <w:tr>
        <w:tc>
          <w:tcPr>
            <w:tcW w:type="dxa" w:w="1994"/>
            <w:shd w:val="clear" w:color="auto" w:fill="EEF3FA"/>
          </w:tcPr>
          <w:p>
            <w:pPr>
              <w:spacing w:before="32" w:after="32" w:line="240" w:lineRule="auto"/>
              <w:jc w:val="left"/>
            </w:pPr>
            <w:r>
              <w:rPr>
                <w:b w:val="0"/>
                <w:color w:val="0B0B0B"/>
                <w:sz w:val="14"/>
              </w:rPr>
              <w:t>4. FY20–FY22  Deleveraging</w:t>
            </w:r>
          </w:p>
        </w:tc>
        <w:tc>
          <w:tcPr>
            <w:tcW w:type="dxa" w:w="1290"/>
            <w:shd w:val="clear" w:color="auto" w:fill="EEF3FA"/>
          </w:tcPr>
          <w:p>
            <w:pPr>
              <w:spacing w:before="32" w:after="32" w:line="240" w:lineRule="auto"/>
              <w:jc w:val="right"/>
            </w:pPr>
            <w:r>
              <w:rPr>
                <w:b w:val="0"/>
                <w:color w:val="0B0B0B"/>
                <w:sz w:val="14"/>
              </w:rPr>
              <w:t>8,273 → 8,167</w:t>
            </w:r>
          </w:p>
        </w:tc>
        <w:tc>
          <w:tcPr>
            <w:tcW w:type="dxa" w:w="997"/>
            <w:shd w:val="clear" w:color="auto" w:fill="EEF3FA"/>
          </w:tcPr>
          <w:p>
            <w:pPr>
              <w:spacing w:before="32" w:after="32" w:line="240" w:lineRule="auto"/>
              <w:jc w:val="right"/>
            </w:pPr>
            <w:r>
              <w:rPr>
                <w:b w:val="0"/>
                <w:color w:val="0B0B0B"/>
                <w:sz w:val="14"/>
              </w:rPr>
              <w:t>36% → 44%</w:t>
            </w:r>
          </w:p>
        </w:tc>
        <w:tc>
          <w:tcPr>
            <w:tcW w:type="dxa" w:w="1114"/>
            <w:shd w:val="clear" w:color="auto" w:fill="EEF3FA"/>
          </w:tcPr>
          <w:p>
            <w:pPr>
              <w:spacing w:before="32" w:after="32" w:line="240" w:lineRule="auto"/>
              <w:jc w:val="right"/>
            </w:pPr>
            <w:r>
              <w:rPr>
                <w:b w:val="0"/>
                <w:color w:val="0B0B0B"/>
                <w:sz w:val="14"/>
              </w:rPr>
              <w:t>3.3x → 2.2x</w:t>
            </w:r>
          </w:p>
        </w:tc>
        <w:tc>
          <w:tcPr>
            <w:tcW w:type="dxa" w:w="821"/>
            <w:shd w:val="clear" w:color="auto" w:fill="EEF3FA"/>
          </w:tcPr>
          <w:p>
            <w:pPr>
              <w:spacing w:before="32" w:after="32" w:line="240" w:lineRule="auto"/>
              <w:jc w:val="right"/>
            </w:pPr>
            <w:r>
              <w:rPr>
                <w:b w:val="0"/>
                <w:color w:val="0B0B0B"/>
                <w:sz w:val="14"/>
              </w:rPr>
              <w:t>9% → 7%</w:t>
            </w:r>
          </w:p>
        </w:tc>
        <w:tc>
          <w:tcPr>
            <w:tcW w:type="dxa" w:w="3988"/>
            <w:shd w:val="clear" w:color="auto" w:fill="EEF3FA"/>
          </w:tcPr>
          <w:p>
            <w:pPr>
              <w:spacing w:before="32" w:after="32" w:line="240" w:lineRule="auto"/>
              <w:jc w:val="right"/>
            </w:pPr>
            <w:r>
              <w:rPr>
                <w:b w:val="0"/>
                <w:color w:val="0B0B0B"/>
                <w:sz w:val="14"/>
              </w:rPr>
              <w:t>Cash harvest; net debt cut to Rs.7,758cr, the cleanest in a decade.</w:t>
            </w:r>
          </w:p>
        </w:tc>
      </w:tr>
      <w:tr>
        <w:tc>
          <w:tcPr>
            <w:tcW w:type="dxa" w:w="1994"/>
          </w:tcPr>
          <w:p>
            <w:pPr>
              <w:spacing w:before="32" w:after="32" w:line="240" w:lineRule="auto"/>
              <w:jc w:val="left"/>
            </w:pPr>
            <w:r>
              <w:rPr>
                <w:b w:val="0"/>
                <w:color w:val="0B0B0B"/>
                <w:sz w:val="14"/>
              </w:rPr>
              <w:t>5. FY23–FY26A  Re-levering</w:t>
            </w:r>
          </w:p>
        </w:tc>
        <w:tc>
          <w:tcPr>
            <w:tcW w:type="dxa" w:w="1290"/>
          </w:tcPr>
          <w:p>
            <w:pPr>
              <w:spacing w:before="32" w:after="32" w:line="240" w:lineRule="auto"/>
              <w:jc w:val="right"/>
            </w:pPr>
            <w:r>
              <w:rPr>
                <w:b w:val="0"/>
                <w:color w:val="0B0B0B"/>
                <w:sz w:val="14"/>
              </w:rPr>
              <w:t>10,332 → 18,901</w:t>
            </w:r>
          </w:p>
        </w:tc>
        <w:tc>
          <w:tcPr>
            <w:tcW w:type="dxa" w:w="997"/>
          </w:tcPr>
          <w:p>
            <w:pPr>
              <w:spacing w:before="32" w:after="32" w:line="240" w:lineRule="auto"/>
              <w:jc w:val="right"/>
            </w:pPr>
            <w:r>
              <w:rPr>
                <w:b w:val="0"/>
                <w:color w:val="0B0B0B"/>
                <w:sz w:val="14"/>
              </w:rPr>
              <w:t>32% → 53%</w:t>
            </w:r>
          </w:p>
        </w:tc>
        <w:tc>
          <w:tcPr>
            <w:tcW w:type="dxa" w:w="1114"/>
          </w:tcPr>
          <w:p>
            <w:pPr>
              <w:spacing w:before="32" w:after="32" w:line="240" w:lineRule="auto"/>
              <w:jc w:val="right"/>
            </w:pPr>
            <w:r>
              <w:rPr>
                <w:b w:val="0"/>
                <w:color w:val="0B0B0B"/>
                <w:sz w:val="14"/>
              </w:rPr>
              <w:t>6.3x → 7.0x</w:t>
            </w:r>
          </w:p>
        </w:tc>
        <w:tc>
          <w:tcPr>
            <w:tcW w:type="dxa" w:w="821"/>
          </w:tcPr>
          <w:p>
            <w:pPr>
              <w:spacing w:before="32" w:after="32" w:line="240" w:lineRule="auto"/>
              <w:jc w:val="right"/>
            </w:pPr>
            <w:r>
              <w:rPr>
                <w:b w:val="0"/>
                <w:color w:val="0B0B0B"/>
                <w:sz w:val="14"/>
              </w:rPr>
              <w:t>4% → 6%</w:t>
            </w:r>
          </w:p>
        </w:tc>
        <w:tc>
          <w:tcPr>
            <w:tcW w:type="dxa" w:w="3988"/>
          </w:tcPr>
          <w:p>
            <w:pPr>
              <w:spacing w:before="32" w:after="32" w:line="240" w:lineRule="auto"/>
              <w:jc w:val="right"/>
            </w:pPr>
            <w:r>
              <w:rPr>
                <w:b w:val="0"/>
                <w:color w:val="0B0B0B"/>
                <w:sz w:val="14"/>
              </w:rPr>
              <w:t>Mytrah, Ind-Barath, KSK and O2 acquired; net debt up 3.4x. Peak leverage 8.6x in FY25A.</w:t>
            </w:r>
          </w:p>
        </w:tc>
      </w:tr>
      <w:tr>
        <w:tc>
          <w:tcPr>
            <w:tcW w:type="dxa" w:w="1994"/>
            <w:shd w:val="clear" w:color="auto" w:fill="EEF3FA"/>
          </w:tcPr>
          <w:p>
            <w:pPr>
              <w:spacing w:before="32" w:after="32" w:line="240" w:lineRule="auto"/>
              <w:jc w:val="left"/>
            </w:pPr>
            <w:r>
              <w:rPr>
                <w:b w:val="0"/>
                <w:color w:val="0B0B0B"/>
                <w:sz w:val="14"/>
              </w:rPr>
              <w:t>6. FY27E–FY30E  The renewable cycle</w:t>
            </w:r>
          </w:p>
        </w:tc>
        <w:tc>
          <w:tcPr>
            <w:tcW w:type="dxa" w:w="1290"/>
            <w:shd w:val="clear" w:color="auto" w:fill="EEF3FA"/>
          </w:tcPr>
          <w:p>
            <w:pPr>
              <w:spacing w:before="32" w:after="32" w:line="240" w:lineRule="auto"/>
              <w:jc w:val="right"/>
            </w:pPr>
            <w:r>
              <w:rPr>
                <w:b w:val="0"/>
                <w:color w:val="0B0B0B"/>
                <w:sz w:val="14"/>
              </w:rPr>
              <w:t>26,535 → 39,506</w:t>
            </w:r>
          </w:p>
        </w:tc>
        <w:tc>
          <w:tcPr>
            <w:tcW w:type="dxa" w:w="997"/>
            <w:shd w:val="clear" w:color="auto" w:fill="EEF3FA"/>
          </w:tcPr>
          <w:p>
            <w:pPr>
              <w:spacing w:before="32" w:after="32" w:line="240" w:lineRule="auto"/>
              <w:jc w:val="right"/>
            </w:pPr>
            <w:r>
              <w:rPr>
                <w:b w:val="0"/>
                <w:color w:val="0B0B0B"/>
                <w:sz w:val="14"/>
              </w:rPr>
              <w:t>49% → 60%</w:t>
            </w:r>
          </w:p>
        </w:tc>
        <w:tc>
          <w:tcPr>
            <w:tcW w:type="dxa" w:w="1114"/>
            <w:shd w:val="clear" w:color="auto" w:fill="EEF3FA"/>
          </w:tcPr>
          <w:p>
            <w:pPr>
              <w:spacing w:before="32" w:after="32" w:line="240" w:lineRule="auto"/>
              <w:jc w:val="right"/>
            </w:pPr>
            <w:r>
              <w:rPr>
                <w:b w:val="0"/>
                <w:color w:val="0B0B0B"/>
                <w:sz w:val="14"/>
              </w:rPr>
              <w:t>6.1x → 4.9x</w:t>
            </w:r>
          </w:p>
        </w:tc>
        <w:tc>
          <w:tcPr>
            <w:tcW w:type="dxa" w:w="821"/>
            <w:shd w:val="clear" w:color="auto" w:fill="EEF3FA"/>
          </w:tcPr>
          <w:p>
            <w:pPr>
              <w:spacing w:before="32" w:after="32" w:line="240" w:lineRule="auto"/>
              <w:jc w:val="right"/>
            </w:pPr>
            <w:r>
              <w:rPr>
                <w:b w:val="0"/>
                <w:color w:val="0B0B0B"/>
                <w:sz w:val="14"/>
              </w:rPr>
              <w:t>6% → 9%</w:t>
            </w:r>
          </w:p>
        </w:tc>
        <w:tc>
          <w:tcPr>
            <w:tcW w:type="dxa" w:w="3988"/>
            <w:shd w:val="clear" w:color="auto" w:fill="EEF3FA"/>
          </w:tcPr>
          <w:p>
            <w:pPr>
              <w:spacing w:before="32" w:after="32" w:line="240" w:lineRule="auto"/>
              <w:jc w:val="right"/>
            </w:pPr>
            <w:r>
              <w:rPr>
                <w:b w:val="0"/>
                <w:color w:val="0B0B0B"/>
                <w:sz w:val="14"/>
              </w:rPr>
              <w:t>12,451MW of new capacity, 92% of the EBITDA growth from renewables. The first cycle in which ROCE is forecast to rise.</w:t>
            </w:r>
          </w:p>
        </w:tc>
      </w:tr>
    </w:tbl>
    <w:p>
      <w:pPr>
        <w:spacing w:before="40" w:after="120"/>
      </w:pPr>
      <w:r>
        <w:rPr>
          <w:b w:val="0"/>
          <w:i/>
          <w:color w:val="8A8880"/>
          <w:sz w:val="14"/>
        </w:rPr>
        <w:t>Source: analyst model, FY05–FY26A actuals and FY27E–FY30E estimates. Margins are consolidated EBITDA/revenue. FY09 net debt/EBITDA of 20.0x reflects Ratnagiri under construction with no earnings.</w:t>
      </w:r>
    </w:p>
    <w:p>
      <w:pPr>
        <w:spacing w:before="0" w:after="100"/>
      </w:pPr>
      <w:r>
        <w:rPr>
          <w:b w:val="0"/>
          <w:i w:val="0"/>
          <w:color w:val="0B0B0B"/>
          <w:sz w:val="17"/>
        </w:rPr>
        <w:t>What the cycles teach about the current thesis: every previous JSW Energy growth cycle ended with a lower return on capital than it began with. ROCE was 29% in FY08, 9% in FY13, 7% in FY22 and 6.4% in FY26A. The FY27E–FY30E cycle is the first the model forecasts to break that pattern, and even then it reaches only 8.8% — below the 10% WACC the model's own DCF uses. The second lesson is about the balance sheet: the company was at its most valuable to shareholders in FY22, when leverage was 2.2x and it was generating free cash. It has spent the four years since converting that balance sheet capacity into capacity, and the equity market has paid for the capacity but not re-rated the returns.</w:t>
      </w:r>
    </w:p>
    <w:p>
      <w:pPr>
        <w:spacing w:before="120" w:after="40"/>
        <w:jc w:val="center"/>
      </w:pPr>
      <w:r>
        <w:drawing>
          <wp:inline xmlns:a="http://schemas.openxmlformats.org/drawingml/2006/main" xmlns:pic="http://schemas.openxmlformats.org/drawingml/2006/picture">
            <wp:extent cx="4896000" cy="3121003"/>
            <wp:docPr id="2" name="Picture 2"/>
            <wp:cNvGraphicFramePr>
              <a:graphicFrameLocks noChangeAspect="1"/>
            </wp:cNvGraphicFramePr>
            <a:graphic>
              <a:graphicData uri="http://schemas.openxmlformats.org/drawingml/2006/picture">
                <pic:pic>
                  <pic:nvPicPr>
                    <pic:cNvPr id="0" name="ex1_revenue_margin.png"/>
                    <pic:cNvPicPr/>
                  </pic:nvPicPr>
                  <pic:blipFill>
                    <a:blip r:embed="rId10"/>
                    <a:stretch>
                      <a:fillRect/>
                    </a:stretch>
                  </pic:blipFill>
                  <pic:spPr>
                    <a:xfrm>
                      <a:off x="0" y="0"/>
                      <a:ext cx="4896000" cy="3121003"/>
                    </a:xfrm>
                    <a:prstGeom prst="rect"/>
                  </pic:spPr>
                </pic:pic>
              </a:graphicData>
            </a:graphic>
          </wp:inline>
        </w:drawing>
      </w:r>
    </w:p>
    <w:p>
      <w:pPr>
        <w:spacing w:before="0" w:after="140"/>
      </w:pPr>
      <w:r>
        <w:rPr>
          <w:b w:val="0"/>
          <w:i/>
          <w:color w:val="8A8880"/>
          <w:sz w:val="14"/>
        </w:rPr>
        <w:t>Exhibit 2  Revenue and EBITDA margin, FY22A–FY30E, Rs. crore. Two panels share the x-axis rather than a dual y-scale. Source: analyst model.</w:t>
      </w:r>
    </w:p>
    <w:p>
      <w:pPr>
        <w:keepNext/>
        <w:spacing w:before="180" w:after="40"/>
      </w:pPr>
      <w:r>
        <w:rPr>
          <w:b/>
          <w:color w:val="1F3864"/>
          <w:sz w:val="21"/>
        </w:rPr>
        <w:t>5.  Business Segments</w:t>
      </w:r>
    </w:p>
    <w:p>
      <w:pPr>
        <w:spacing w:before="0" w:after="100"/>
      </w:pPr>
      <w:r>
        <w:rPr>
          <w:b w:val="0"/>
          <w:i w:val="0"/>
          <w:color w:val="0B0B0B"/>
          <w:sz w:val="17"/>
        </w:rPr>
        <w:t>The company reports four segments under Ind AS 108 — thermal, hydro, renewables and others — and within thermal it discloses the four legal entities separately, which is unusually granular and lets each plant be mapped back to the entity in Section 3.</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3167"/>
        <w:gridCol w:w="1173"/>
        <w:gridCol w:w="1173"/>
        <w:gridCol w:w="1173"/>
        <w:gridCol w:w="1173"/>
        <w:gridCol w:w="1173"/>
        <w:gridCol w:w="1173"/>
      </w:tblGrid>
      <w:tr>
        <w:tc>
          <w:tcPr>
            <w:tcW w:type="dxa" w:w="3167"/>
            <w:shd w:val="clear" w:color="auto" w:fill="1F3864"/>
          </w:tcPr>
          <w:p>
            <w:pPr>
              <w:spacing w:before="50" w:after="50"/>
              <w:jc w:val="left"/>
            </w:pPr>
            <w:r>
              <w:rPr>
                <w:b/>
                <w:color w:val="FFFFFF"/>
                <w:sz w:val="15"/>
              </w:rPr>
              <w:t>Revenue by segment (Rs.cr)</w:t>
            </w:r>
          </w:p>
        </w:tc>
        <w:tc>
          <w:tcPr>
            <w:tcW w:type="dxa" w:w="1173"/>
            <w:shd w:val="clear" w:color="auto" w:fill="1F3864"/>
          </w:tcPr>
          <w:p>
            <w:pPr>
              <w:spacing w:before="50" w:after="50"/>
              <w:jc w:val="right"/>
            </w:pPr>
            <w:r>
              <w:rPr>
                <w:b/>
                <w:color w:val="FFFFFF"/>
                <w:sz w:val="15"/>
              </w:rPr>
              <w:t>FY23A</w:t>
            </w:r>
          </w:p>
        </w:tc>
        <w:tc>
          <w:tcPr>
            <w:tcW w:type="dxa" w:w="1173"/>
            <w:shd w:val="clear" w:color="auto" w:fill="1F3864"/>
          </w:tcPr>
          <w:p>
            <w:pPr>
              <w:spacing w:before="50" w:after="50"/>
              <w:jc w:val="right"/>
            </w:pPr>
            <w:r>
              <w:rPr>
                <w:b/>
                <w:color w:val="FFFFFF"/>
                <w:sz w:val="15"/>
              </w:rPr>
              <w:t>FY24A</w:t>
            </w:r>
          </w:p>
        </w:tc>
        <w:tc>
          <w:tcPr>
            <w:tcW w:type="dxa" w:w="1173"/>
            <w:shd w:val="clear" w:color="auto" w:fill="1F3864"/>
          </w:tcPr>
          <w:p>
            <w:pPr>
              <w:spacing w:before="50" w:after="50"/>
              <w:jc w:val="right"/>
            </w:pPr>
            <w:r>
              <w:rPr>
                <w:b/>
                <w:color w:val="FFFFFF"/>
                <w:sz w:val="15"/>
              </w:rPr>
              <w:t>FY25A</w:t>
            </w:r>
          </w:p>
        </w:tc>
        <w:tc>
          <w:tcPr>
            <w:tcW w:type="dxa" w:w="1173"/>
            <w:shd w:val="clear" w:color="auto" w:fill="1F3864"/>
          </w:tcPr>
          <w:p>
            <w:pPr>
              <w:spacing w:before="50" w:after="50"/>
              <w:jc w:val="right"/>
            </w:pPr>
            <w:r>
              <w:rPr>
                <w:b/>
                <w:color w:val="FFFFFF"/>
                <w:sz w:val="15"/>
              </w:rPr>
              <w:t>FY26A</w:t>
            </w:r>
          </w:p>
        </w:tc>
        <w:tc>
          <w:tcPr>
            <w:tcW w:type="dxa" w:w="1173"/>
            <w:shd w:val="clear" w:color="auto" w:fill="1F3864"/>
          </w:tcPr>
          <w:p>
            <w:pPr>
              <w:spacing w:before="50" w:after="50"/>
              <w:jc w:val="right"/>
            </w:pPr>
            <w:r>
              <w:rPr>
                <w:b/>
                <w:color w:val="FFFFFF"/>
                <w:sz w:val="15"/>
              </w:rPr>
              <w:t>FY27E</w:t>
            </w:r>
          </w:p>
        </w:tc>
        <w:tc>
          <w:tcPr>
            <w:tcW w:type="dxa" w:w="1173"/>
            <w:shd w:val="clear" w:color="auto" w:fill="1F3864"/>
          </w:tcPr>
          <w:p>
            <w:pPr>
              <w:spacing w:before="50" w:after="50"/>
              <w:jc w:val="right"/>
            </w:pPr>
            <w:r>
              <w:rPr>
                <w:b/>
                <w:color w:val="FFFFFF"/>
                <w:sz w:val="15"/>
              </w:rPr>
              <w:t>FY28E</w:t>
            </w:r>
          </w:p>
        </w:tc>
      </w:tr>
      <w:tr>
        <w:tc>
          <w:tcPr>
            <w:tcW w:type="dxa" w:w="3167"/>
          </w:tcPr>
          <w:p>
            <w:pPr>
              <w:spacing w:before="32" w:after="32" w:line="240" w:lineRule="auto"/>
              <w:jc w:val="left"/>
            </w:pPr>
            <w:r>
              <w:rPr>
                <w:b w:val="0"/>
                <w:color w:val="0B0B0B"/>
                <w:sz w:val="15"/>
              </w:rPr>
              <w:t>Standalone (Ratnagiri, Vijayanagar, Nandyal)</w:t>
            </w:r>
          </w:p>
        </w:tc>
        <w:tc>
          <w:tcPr>
            <w:tcW w:type="dxa" w:w="1173"/>
          </w:tcPr>
          <w:p>
            <w:pPr>
              <w:spacing w:before="32" w:after="32" w:line="240" w:lineRule="auto"/>
              <w:jc w:val="right"/>
            </w:pPr>
            <w:r>
              <w:rPr>
                <w:b w:val="0"/>
                <w:color w:val="0B0B0B"/>
                <w:sz w:val="15"/>
              </w:rPr>
              <w:t>5,739</w:t>
            </w:r>
          </w:p>
        </w:tc>
        <w:tc>
          <w:tcPr>
            <w:tcW w:type="dxa" w:w="1173"/>
          </w:tcPr>
          <w:p>
            <w:pPr>
              <w:spacing w:before="32" w:after="32" w:line="240" w:lineRule="auto"/>
              <w:jc w:val="right"/>
            </w:pPr>
            <w:r>
              <w:rPr>
                <w:b w:val="0"/>
                <w:color w:val="0B0B0B"/>
                <w:sz w:val="15"/>
              </w:rPr>
              <w:t>5,129</w:t>
            </w:r>
          </w:p>
        </w:tc>
        <w:tc>
          <w:tcPr>
            <w:tcW w:type="dxa" w:w="1173"/>
          </w:tcPr>
          <w:p>
            <w:pPr>
              <w:spacing w:before="32" w:after="32" w:line="240" w:lineRule="auto"/>
              <w:jc w:val="right"/>
            </w:pPr>
            <w:r>
              <w:rPr>
                <w:b w:val="0"/>
                <w:color w:val="0B0B0B"/>
                <w:sz w:val="15"/>
              </w:rPr>
              <w:t>3,939</w:t>
            </w:r>
          </w:p>
        </w:tc>
        <w:tc>
          <w:tcPr>
            <w:tcW w:type="dxa" w:w="1173"/>
          </w:tcPr>
          <w:p>
            <w:pPr>
              <w:spacing w:before="32" w:after="32" w:line="240" w:lineRule="auto"/>
              <w:jc w:val="right"/>
            </w:pPr>
            <w:r>
              <w:rPr>
                <w:b w:val="0"/>
                <w:color w:val="0B0B0B"/>
                <w:sz w:val="15"/>
              </w:rPr>
              <w:t>3,030</w:t>
            </w:r>
          </w:p>
        </w:tc>
        <w:tc>
          <w:tcPr>
            <w:tcW w:type="dxa" w:w="1173"/>
          </w:tcPr>
          <w:p>
            <w:pPr>
              <w:spacing w:before="32" w:after="32" w:line="240" w:lineRule="auto"/>
              <w:jc w:val="right"/>
            </w:pPr>
            <w:r>
              <w:rPr>
                <w:b w:val="0"/>
                <w:color w:val="0B0B0B"/>
                <w:sz w:val="15"/>
              </w:rPr>
              <w:t>6,612</w:t>
            </w:r>
          </w:p>
        </w:tc>
        <w:tc>
          <w:tcPr>
            <w:tcW w:type="dxa" w:w="1173"/>
          </w:tcPr>
          <w:p>
            <w:pPr>
              <w:spacing w:before="32" w:after="32" w:line="240" w:lineRule="auto"/>
              <w:jc w:val="right"/>
            </w:pPr>
            <w:r>
              <w:rPr>
                <w:b w:val="0"/>
                <w:color w:val="0B0B0B"/>
                <w:sz w:val="15"/>
              </w:rPr>
              <w:t>6,872</w:t>
            </w:r>
          </w:p>
        </w:tc>
      </w:tr>
      <w:tr>
        <w:tc>
          <w:tcPr>
            <w:tcW w:type="dxa" w:w="3167"/>
            <w:shd w:val="clear" w:color="auto" w:fill="EEF3FA"/>
          </w:tcPr>
          <w:p>
            <w:pPr>
              <w:spacing w:before="32" w:after="32" w:line="240" w:lineRule="auto"/>
              <w:jc w:val="left"/>
            </w:pPr>
            <w:r>
              <w:rPr>
                <w:b w:val="0"/>
                <w:color w:val="0B0B0B"/>
                <w:sz w:val="15"/>
              </w:rPr>
              <w:t>JSW Energy (Barmer)</w:t>
            </w:r>
          </w:p>
        </w:tc>
        <w:tc>
          <w:tcPr>
            <w:tcW w:type="dxa" w:w="1173"/>
            <w:shd w:val="clear" w:color="auto" w:fill="EEF3FA"/>
          </w:tcPr>
          <w:p>
            <w:pPr>
              <w:spacing w:before="32" w:after="32" w:line="240" w:lineRule="auto"/>
              <w:jc w:val="right"/>
            </w:pPr>
            <w:r>
              <w:rPr>
                <w:b w:val="0"/>
                <w:color w:val="0B0B0B"/>
                <w:sz w:val="15"/>
              </w:rPr>
              <w:t>3,026</w:t>
            </w:r>
          </w:p>
        </w:tc>
        <w:tc>
          <w:tcPr>
            <w:tcW w:type="dxa" w:w="1173"/>
            <w:shd w:val="clear" w:color="auto" w:fill="EEF3FA"/>
          </w:tcPr>
          <w:p>
            <w:pPr>
              <w:spacing w:before="32" w:after="32" w:line="240" w:lineRule="auto"/>
              <w:jc w:val="right"/>
            </w:pPr>
            <w:r>
              <w:rPr>
                <w:b w:val="0"/>
                <w:color w:val="0B0B0B"/>
                <w:sz w:val="15"/>
              </w:rPr>
              <w:t>2,880</w:t>
            </w:r>
          </w:p>
        </w:tc>
        <w:tc>
          <w:tcPr>
            <w:tcW w:type="dxa" w:w="1173"/>
            <w:shd w:val="clear" w:color="auto" w:fill="EEF3FA"/>
          </w:tcPr>
          <w:p>
            <w:pPr>
              <w:spacing w:before="32" w:after="32" w:line="240" w:lineRule="auto"/>
              <w:jc w:val="right"/>
            </w:pPr>
            <w:r>
              <w:rPr>
                <w:b w:val="0"/>
                <w:color w:val="0B0B0B"/>
                <w:sz w:val="15"/>
              </w:rPr>
              <w:t>2,741</w:t>
            </w:r>
          </w:p>
        </w:tc>
        <w:tc>
          <w:tcPr>
            <w:tcW w:type="dxa" w:w="1173"/>
            <w:shd w:val="clear" w:color="auto" w:fill="EEF3FA"/>
          </w:tcPr>
          <w:p>
            <w:pPr>
              <w:spacing w:before="32" w:after="32" w:line="240" w:lineRule="auto"/>
              <w:jc w:val="right"/>
            </w:pPr>
            <w:r>
              <w:rPr>
                <w:b w:val="0"/>
                <w:color w:val="0B0B0B"/>
                <w:sz w:val="15"/>
              </w:rPr>
              <w:t>2,382</w:t>
            </w:r>
          </w:p>
        </w:tc>
        <w:tc>
          <w:tcPr>
            <w:tcW w:type="dxa" w:w="1173"/>
            <w:shd w:val="clear" w:color="auto" w:fill="EEF3FA"/>
          </w:tcPr>
          <w:p>
            <w:pPr>
              <w:spacing w:before="32" w:after="32" w:line="240" w:lineRule="auto"/>
              <w:jc w:val="right"/>
            </w:pPr>
            <w:r>
              <w:rPr>
                <w:b w:val="0"/>
                <w:color w:val="0B0B0B"/>
                <w:sz w:val="15"/>
              </w:rPr>
              <w:t>2,896</w:t>
            </w:r>
          </w:p>
        </w:tc>
        <w:tc>
          <w:tcPr>
            <w:tcW w:type="dxa" w:w="1173"/>
            <w:shd w:val="clear" w:color="auto" w:fill="EEF3FA"/>
          </w:tcPr>
          <w:p>
            <w:pPr>
              <w:spacing w:before="32" w:after="32" w:line="240" w:lineRule="auto"/>
              <w:jc w:val="right"/>
            </w:pPr>
            <w:r>
              <w:rPr>
                <w:b w:val="0"/>
                <w:color w:val="0B0B0B"/>
                <w:sz w:val="15"/>
              </w:rPr>
              <w:t>2,954</w:t>
            </w:r>
          </w:p>
        </w:tc>
      </w:tr>
      <w:tr>
        <w:tc>
          <w:tcPr>
            <w:tcW w:type="dxa" w:w="3167"/>
          </w:tcPr>
          <w:p>
            <w:pPr>
              <w:spacing w:before="32" w:after="32" w:line="240" w:lineRule="auto"/>
              <w:jc w:val="left"/>
            </w:pPr>
            <w:r>
              <w:rPr>
                <w:b w:val="0"/>
                <w:color w:val="0B0B0B"/>
                <w:sz w:val="15"/>
              </w:rPr>
              <w:t>Ind-Barath (Utkal)</w:t>
            </w:r>
          </w:p>
        </w:tc>
        <w:tc>
          <w:tcPr>
            <w:tcW w:type="dxa" w:w="1173"/>
          </w:tcPr>
          <w:p>
            <w:pPr>
              <w:spacing w:before="32" w:after="32" w:line="240" w:lineRule="auto"/>
              <w:jc w:val="right"/>
            </w:pPr>
            <w:r>
              <w:rPr>
                <w:b w:val="0"/>
                <w:color w:val="0B0B0B"/>
                <w:sz w:val="15"/>
              </w:rPr>
              <w:t>0</w:t>
            </w:r>
          </w:p>
        </w:tc>
        <w:tc>
          <w:tcPr>
            <w:tcW w:type="dxa" w:w="1173"/>
          </w:tcPr>
          <w:p>
            <w:pPr>
              <w:spacing w:before="32" w:after="32" w:line="240" w:lineRule="auto"/>
              <w:jc w:val="right"/>
            </w:pPr>
            <w:r>
              <w:rPr>
                <w:b w:val="0"/>
                <w:color w:val="0B0B0B"/>
                <w:sz w:val="15"/>
              </w:rPr>
              <w:t>127</w:t>
            </w:r>
          </w:p>
        </w:tc>
        <w:tc>
          <w:tcPr>
            <w:tcW w:type="dxa" w:w="1173"/>
          </w:tcPr>
          <w:p>
            <w:pPr>
              <w:spacing w:before="32" w:after="32" w:line="240" w:lineRule="auto"/>
              <w:jc w:val="right"/>
            </w:pPr>
            <w:r>
              <w:rPr>
                <w:b w:val="0"/>
                <w:color w:val="0B0B0B"/>
                <w:sz w:val="15"/>
              </w:rPr>
              <w:t>1,092</w:t>
            </w:r>
          </w:p>
        </w:tc>
        <w:tc>
          <w:tcPr>
            <w:tcW w:type="dxa" w:w="1173"/>
          </w:tcPr>
          <w:p>
            <w:pPr>
              <w:spacing w:before="32" w:after="32" w:line="240" w:lineRule="auto"/>
              <w:jc w:val="right"/>
            </w:pPr>
            <w:r>
              <w:rPr>
                <w:b w:val="0"/>
                <w:color w:val="0B0B0B"/>
                <w:sz w:val="15"/>
              </w:rPr>
              <w:t>1,912</w:t>
            </w:r>
          </w:p>
        </w:tc>
        <w:tc>
          <w:tcPr>
            <w:tcW w:type="dxa" w:w="1173"/>
          </w:tcPr>
          <w:p>
            <w:pPr>
              <w:spacing w:before="32" w:after="32" w:line="240" w:lineRule="auto"/>
              <w:jc w:val="right"/>
            </w:pPr>
            <w:r>
              <w:rPr>
                <w:b w:val="0"/>
                <w:color w:val="0B0B0B"/>
                <w:sz w:val="15"/>
              </w:rPr>
              <w:t>2,031</w:t>
            </w:r>
          </w:p>
        </w:tc>
        <w:tc>
          <w:tcPr>
            <w:tcW w:type="dxa" w:w="1173"/>
          </w:tcPr>
          <w:p>
            <w:pPr>
              <w:spacing w:before="32" w:after="32" w:line="240" w:lineRule="auto"/>
              <w:jc w:val="right"/>
            </w:pPr>
            <w:r>
              <w:rPr>
                <w:b w:val="0"/>
                <w:color w:val="0B0B0B"/>
                <w:sz w:val="15"/>
              </w:rPr>
              <w:t>2,031</w:t>
            </w:r>
          </w:p>
        </w:tc>
      </w:tr>
      <w:tr>
        <w:tc>
          <w:tcPr>
            <w:tcW w:type="dxa" w:w="3167"/>
            <w:shd w:val="clear" w:color="auto" w:fill="EEF3FA"/>
          </w:tcPr>
          <w:p>
            <w:pPr>
              <w:spacing w:before="32" w:after="32" w:line="240" w:lineRule="auto"/>
              <w:jc w:val="left"/>
            </w:pPr>
            <w:r>
              <w:rPr>
                <w:b w:val="0"/>
                <w:color w:val="0B0B0B"/>
                <w:sz w:val="15"/>
              </w:rPr>
              <w:t>KSK Mahanadi (74%)</w:t>
            </w:r>
          </w:p>
        </w:tc>
        <w:tc>
          <w:tcPr>
            <w:tcW w:type="dxa" w:w="1173"/>
            <w:shd w:val="clear" w:color="auto" w:fill="EEF3FA"/>
          </w:tcPr>
          <w:p>
            <w:pPr>
              <w:spacing w:before="32" w:after="32" w:line="240" w:lineRule="auto"/>
              <w:jc w:val="right"/>
            </w:pPr>
            <w:r>
              <w:rPr>
                <w:b w:val="0"/>
                <w:color w:val="0B0B0B"/>
                <w:sz w:val="15"/>
              </w:rPr>
              <w:t>0</w:t>
            </w:r>
          </w:p>
        </w:tc>
        <w:tc>
          <w:tcPr>
            <w:tcW w:type="dxa" w:w="1173"/>
            <w:shd w:val="clear" w:color="auto" w:fill="EEF3FA"/>
          </w:tcPr>
          <w:p>
            <w:pPr>
              <w:spacing w:before="32" w:after="32" w:line="240" w:lineRule="auto"/>
              <w:jc w:val="right"/>
            </w:pPr>
            <w:r>
              <w:rPr>
                <w:b w:val="0"/>
                <w:color w:val="0B0B0B"/>
                <w:sz w:val="15"/>
              </w:rPr>
              <w:t>0</w:t>
            </w:r>
          </w:p>
        </w:tc>
        <w:tc>
          <w:tcPr>
            <w:tcW w:type="dxa" w:w="1173"/>
            <w:shd w:val="clear" w:color="auto" w:fill="EEF3FA"/>
          </w:tcPr>
          <w:p>
            <w:pPr>
              <w:spacing w:before="32" w:after="32" w:line="240" w:lineRule="auto"/>
              <w:jc w:val="right"/>
            </w:pPr>
            <w:r>
              <w:rPr>
                <w:b w:val="0"/>
                <w:color w:val="0B0B0B"/>
                <w:sz w:val="15"/>
              </w:rPr>
              <w:t>441</w:t>
            </w:r>
          </w:p>
        </w:tc>
        <w:tc>
          <w:tcPr>
            <w:tcW w:type="dxa" w:w="1173"/>
            <w:shd w:val="clear" w:color="auto" w:fill="EEF3FA"/>
          </w:tcPr>
          <w:p>
            <w:pPr>
              <w:spacing w:before="32" w:after="32" w:line="240" w:lineRule="auto"/>
              <w:jc w:val="right"/>
            </w:pPr>
            <w:r>
              <w:rPr>
                <w:b w:val="0"/>
                <w:color w:val="0B0B0B"/>
                <w:sz w:val="15"/>
              </w:rPr>
              <w:t>6,071</w:t>
            </w:r>
          </w:p>
        </w:tc>
        <w:tc>
          <w:tcPr>
            <w:tcW w:type="dxa" w:w="1173"/>
            <w:shd w:val="clear" w:color="auto" w:fill="EEF3FA"/>
          </w:tcPr>
          <w:p>
            <w:pPr>
              <w:spacing w:before="32" w:after="32" w:line="240" w:lineRule="auto"/>
              <w:jc w:val="right"/>
            </w:pPr>
            <w:r>
              <w:rPr>
                <w:b w:val="0"/>
                <w:color w:val="0B0B0B"/>
                <w:sz w:val="15"/>
              </w:rPr>
              <w:t>5,248</w:t>
            </w:r>
          </w:p>
        </w:tc>
        <w:tc>
          <w:tcPr>
            <w:tcW w:type="dxa" w:w="1173"/>
            <w:shd w:val="clear" w:color="auto" w:fill="EEF3FA"/>
          </w:tcPr>
          <w:p>
            <w:pPr>
              <w:spacing w:before="32" w:after="32" w:line="240" w:lineRule="auto"/>
              <w:jc w:val="right"/>
            </w:pPr>
            <w:r>
              <w:rPr>
                <w:b w:val="0"/>
                <w:color w:val="0B0B0B"/>
                <w:sz w:val="15"/>
              </w:rPr>
              <w:t>5,341</w:t>
            </w:r>
          </w:p>
        </w:tc>
      </w:tr>
      <w:tr>
        <w:tc>
          <w:tcPr>
            <w:tcW w:type="dxa" w:w="3167"/>
          </w:tcPr>
          <w:p>
            <w:pPr>
              <w:spacing w:before="32" w:after="32" w:line="240" w:lineRule="auto"/>
              <w:jc w:val="left"/>
            </w:pPr>
            <w:r>
              <w:rPr>
                <w:b/>
                <w:color w:val="0B0B0B"/>
                <w:sz w:val="15"/>
              </w:rPr>
              <w:t>Total Thermal</w:t>
            </w:r>
          </w:p>
        </w:tc>
        <w:tc>
          <w:tcPr>
            <w:tcW w:type="dxa" w:w="1173"/>
          </w:tcPr>
          <w:p>
            <w:pPr>
              <w:spacing w:before="32" w:after="32" w:line="240" w:lineRule="auto"/>
              <w:jc w:val="right"/>
            </w:pPr>
            <w:r>
              <w:rPr>
                <w:b/>
                <w:color w:val="0B0B0B"/>
                <w:sz w:val="15"/>
              </w:rPr>
              <w:t>8,765</w:t>
            </w:r>
          </w:p>
        </w:tc>
        <w:tc>
          <w:tcPr>
            <w:tcW w:type="dxa" w:w="1173"/>
          </w:tcPr>
          <w:p>
            <w:pPr>
              <w:spacing w:before="32" w:after="32" w:line="240" w:lineRule="auto"/>
              <w:jc w:val="right"/>
            </w:pPr>
            <w:r>
              <w:rPr>
                <w:b/>
                <w:color w:val="0B0B0B"/>
                <w:sz w:val="15"/>
              </w:rPr>
              <w:t>8,136</w:t>
            </w:r>
          </w:p>
        </w:tc>
        <w:tc>
          <w:tcPr>
            <w:tcW w:type="dxa" w:w="1173"/>
          </w:tcPr>
          <w:p>
            <w:pPr>
              <w:spacing w:before="32" w:after="32" w:line="240" w:lineRule="auto"/>
              <w:jc w:val="right"/>
            </w:pPr>
            <w:r>
              <w:rPr>
                <w:b/>
                <w:color w:val="0B0B0B"/>
                <w:sz w:val="15"/>
              </w:rPr>
              <w:t>8,214</w:t>
            </w:r>
          </w:p>
        </w:tc>
        <w:tc>
          <w:tcPr>
            <w:tcW w:type="dxa" w:w="1173"/>
          </w:tcPr>
          <w:p>
            <w:pPr>
              <w:spacing w:before="32" w:after="32" w:line="240" w:lineRule="auto"/>
              <w:jc w:val="right"/>
            </w:pPr>
            <w:r>
              <w:rPr>
                <w:b/>
                <w:color w:val="0B0B0B"/>
                <w:sz w:val="15"/>
              </w:rPr>
              <w:t>13,395</w:t>
            </w:r>
          </w:p>
        </w:tc>
        <w:tc>
          <w:tcPr>
            <w:tcW w:type="dxa" w:w="1173"/>
          </w:tcPr>
          <w:p>
            <w:pPr>
              <w:spacing w:before="32" w:after="32" w:line="240" w:lineRule="auto"/>
              <w:jc w:val="right"/>
            </w:pPr>
            <w:r>
              <w:rPr>
                <w:b/>
                <w:color w:val="0B0B0B"/>
                <w:sz w:val="15"/>
              </w:rPr>
              <w:t>16,788</w:t>
            </w:r>
          </w:p>
        </w:tc>
        <w:tc>
          <w:tcPr>
            <w:tcW w:type="dxa" w:w="1173"/>
          </w:tcPr>
          <w:p>
            <w:pPr>
              <w:spacing w:before="32" w:after="32" w:line="240" w:lineRule="auto"/>
              <w:jc w:val="right"/>
            </w:pPr>
            <w:r>
              <w:rPr>
                <w:b/>
                <w:color w:val="0B0B0B"/>
                <w:sz w:val="15"/>
              </w:rPr>
              <w:t>17,199</w:t>
            </w:r>
          </w:p>
        </w:tc>
      </w:tr>
      <w:tr>
        <w:tc>
          <w:tcPr>
            <w:tcW w:type="dxa" w:w="3167"/>
            <w:shd w:val="clear" w:color="auto" w:fill="EEF3FA"/>
          </w:tcPr>
          <w:p>
            <w:pPr>
              <w:spacing w:before="32" w:after="32" w:line="240" w:lineRule="auto"/>
              <w:jc w:val="left"/>
            </w:pPr>
            <w:r>
              <w:rPr>
                <w:b w:val="0"/>
                <w:color w:val="0B0B0B"/>
                <w:sz w:val="15"/>
              </w:rPr>
              <w:t>Hydro</w:t>
            </w:r>
          </w:p>
        </w:tc>
        <w:tc>
          <w:tcPr>
            <w:tcW w:type="dxa" w:w="1173"/>
            <w:shd w:val="clear" w:color="auto" w:fill="EEF3FA"/>
          </w:tcPr>
          <w:p>
            <w:pPr>
              <w:spacing w:before="32" w:after="32" w:line="240" w:lineRule="auto"/>
              <w:jc w:val="right"/>
            </w:pPr>
            <w:r>
              <w:rPr>
                <w:b w:val="0"/>
                <w:color w:val="0B0B0B"/>
                <w:sz w:val="15"/>
              </w:rPr>
              <w:t>1,328</w:t>
            </w:r>
          </w:p>
        </w:tc>
        <w:tc>
          <w:tcPr>
            <w:tcW w:type="dxa" w:w="1173"/>
            <w:shd w:val="clear" w:color="auto" w:fill="EEF3FA"/>
          </w:tcPr>
          <w:p>
            <w:pPr>
              <w:spacing w:before="32" w:after="32" w:line="240" w:lineRule="auto"/>
              <w:jc w:val="right"/>
            </w:pPr>
            <w:r>
              <w:rPr>
                <w:b w:val="0"/>
                <w:color w:val="0B0B0B"/>
                <w:sz w:val="15"/>
              </w:rPr>
              <w:t>1,370</w:t>
            </w:r>
          </w:p>
        </w:tc>
        <w:tc>
          <w:tcPr>
            <w:tcW w:type="dxa" w:w="1173"/>
            <w:shd w:val="clear" w:color="auto" w:fill="EEF3FA"/>
          </w:tcPr>
          <w:p>
            <w:pPr>
              <w:spacing w:before="32" w:after="32" w:line="240" w:lineRule="auto"/>
              <w:jc w:val="right"/>
            </w:pPr>
            <w:r>
              <w:rPr>
                <w:b w:val="0"/>
                <w:color w:val="0B0B0B"/>
                <w:sz w:val="15"/>
              </w:rPr>
              <w:t>1,145</w:t>
            </w:r>
          </w:p>
        </w:tc>
        <w:tc>
          <w:tcPr>
            <w:tcW w:type="dxa" w:w="1173"/>
            <w:shd w:val="clear" w:color="auto" w:fill="EEF3FA"/>
          </w:tcPr>
          <w:p>
            <w:pPr>
              <w:spacing w:before="32" w:after="32" w:line="240" w:lineRule="auto"/>
              <w:jc w:val="right"/>
            </w:pPr>
            <w:r>
              <w:rPr>
                <w:b w:val="0"/>
                <w:color w:val="0B0B0B"/>
                <w:sz w:val="15"/>
              </w:rPr>
              <w:t>1,112</w:t>
            </w:r>
          </w:p>
        </w:tc>
        <w:tc>
          <w:tcPr>
            <w:tcW w:type="dxa" w:w="1173"/>
            <w:shd w:val="clear" w:color="auto" w:fill="EEF3FA"/>
          </w:tcPr>
          <w:p>
            <w:pPr>
              <w:spacing w:before="32" w:after="32" w:line="240" w:lineRule="auto"/>
              <w:jc w:val="right"/>
            </w:pPr>
            <w:r>
              <w:rPr>
                <w:b w:val="0"/>
                <w:color w:val="0B0B0B"/>
                <w:sz w:val="15"/>
              </w:rPr>
              <w:t>1,707</w:t>
            </w:r>
          </w:p>
        </w:tc>
        <w:tc>
          <w:tcPr>
            <w:tcW w:type="dxa" w:w="1173"/>
            <w:shd w:val="clear" w:color="auto" w:fill="EEF3FA"/>
          </w:tcPr>
          <w:p>
            <w:pPr>
              <w:spacing w:before="32" w:after="32" w:line="240" w:lineRule="auto"/>
              <w:jc w:val="right"/>
            </w:pPr>
            <w:r>
              <w:rPr>
                <w:b w:val="0"/>
                <w:color w:val="0B0B0B"/>
                <w:sz w:val="15"/>
              </w:rPr>
              <w:t>1,701</w:t>
            </w:r>
          </w:p>
        </w:tc>
      </w:tr>
      <w:tr>
        <w:tc>
          <w:tcPr>
            <w:tcW w:type="dxa" w:w="3167"/>
          </w:tcPr>
          <w:p>
            <w:pPr>
              <w:spacing w:before="32" w:after="32" w:line="240" w:lineRule="auto"/>
              <w:jc w:val="left"/>
            </w:pPr>
            <w:r>
              <w:rPr>
                <w:b w:val="0"/>
                <w:color w:val="0B0B0B"/>
                <w:sz w:val="15"/>
              </w:rPr>
              <w:t>Renewables</w:t>
            </w:r>
          </w:p>
        </w:tc>
        <w:tc>
          <w:tcPr>
            <w:tcW w:type="dxa" w:w="1173"/>
          </w:tcPr>
          <w:p>
            <w:pPr>
              <w:spacing w:before="32" w:after="32" w:line="240" w:lineRule="auto"/>
              <w:jc w:val="right"/>
            </w:pPr>
            <w:r>
              <w:rPr>
                <w:b w:val="0"/>
                <w:color w:val="0B0B0B"/>
                <w:sz w:val="15"/>
              </w:rPr>
              <w:t>152</w:t>
            </w:r>
          </w:p>
        </w:tc>
        <w:tc>
          <w:tcPr>
            <w:tcW w:type="dxa" w:w="1173"/>
          </w:tcPr>
          <w:p>
            <w:pPr>
              <w:spacing w:before="32" w:after="32" w:line="240" w:lineRule="auto"/>
              <w:jc w:val="right"/>
            </w:pPr>
            <w:r>
              <w:rPr>
                <w:b w:val="0"/>
                <w:color w:val="0B0B0B"/>
                <w:sz w:val="15"/>
              </w:rPr>
              <w:t>1,906</w:t>
            </w:r>
          </w:p>
        </w:tc>
        <w:tc>
          <w:tcPr>
            <w:tcW w:type="dxa" w:w="1173"/>
          </w:tcPr>
          <w:p>
            <w:pPr>
              <w:spacing w:before="32" w:after="32" w:line="240" w:lineRule="auto"/>
              <w:jc w:val="right"/>
            </w:pPr>
            <w:r>
              <w:rPr>
                <w:b w:val="0"/>
                <w:color w:val="0B0B0B"/>
                <w:sz w:val="15"/>
              </w:rPr>
              <w:t>2,434</w:t>
            </w:r>
          </w:p>
        </w:tc>
        <w:tc>
          <w:tcPr>
            <w:tcW w:type="dxa" w:w="1173"/>
          </w:tcPr>
          <w:p>
            <w:pPr>
              <w:spacing w:before="32" w:after="32" w:line="240" w:lineRule="auto"/>
              <w:jc w:val="right"/>
            </w:pPr>
            <w:r>
              <w:rPr>
                <w:b w:val="0"/>
                <w:color w:val="0B0B0B"/>
                <w:sz w:val="15"/>
              </w:rPr>
              <w:t>4,701</w:t>
            </w:r>
          </w:p>
        </w:tc>
        <w:tc>
          <w:tcPr>
            <w:tcW w:type="dxa" w:w="1173"/>
          </w:tcPr>
          <w:p>
            <w:pPr>
              <w:spacing w:before="32" w:after="32" w:line="240" w:lineRule="auto"/>
              <w:jc w:val="right"/>
            </w:pPr>
            <w:r>
              <w:rPr>
                <w:b w:val="0"/>
                <w:color w:val="0B0B0B"/>
                <w:sz w:val="15"/>
              </w:rPr>
              <w:t>7,133</w:t>
            </w:r>
          </w:p>
        </w:tc>
        <w:tc>
          <w:tcPr>
            <w:tcW w:type="dxa" w:w="1173"/>
          </w:tcPr>
          <w:p>
            <w:pPr>
              <w:spacing w:before="32" w:after="32" w:line="240" w:lineRule="auto"/>
              <w:jc w:val="right"/>
            </w:pPr>
            <w:r>
              <w:rPr>
                <w:b w:val="0"/>
                <w:color w:val="0B0B0B"/>
                <w:sz w:val="15"/>
              </w:rPr>
              <w:t>10,281</w:t>
            </w:r>
          </w:p>
        </w:tc>
      </w:tr>
      <w:tr>
        <w:tc>
          <w:tcPr>
            <w:tcW w:type="dxa" w:w="3167"/>
            <w:shd w:val="clear" w:color="auto" w:fill="EEF3FA"/>
          </w:tcPr>
          <w:p>
            <w:pPr>
              <w:spacing w:before="32" w:after="32" w:line="240" w:lineRule="auto"/>
              <w:jc w:val="left"/>
            </w:pPr>
            <w:r>
              <w:rPr>
                <w:b w:val="0"/>
                <w:color w:val="0B0B0B"/>
                <w:sz w:val="15"/>
              </w:rPr>
              <w:t>Others / eliminations</w:t>
            </w:r>
          </w:p>
        </w:tc>
        <w:tc>
          <w:tcPr>
            <w:tcW w:type="dxa" w:w="1173"/>
            <w:shd w:val="clear" w:color="auto" w:fill="EEF3FA"/>
          </w:tcPr>
          <w:p>
            <w:pPr>
              <w:spacing w:before="32" w:after="32" w:line="240" w:lineRule="auto"/>
              <w:jc w:val="right"/>
            </w:pPr>
            <w:r>
              <w:rPr>
                <w:b w:val="0"/>
                <w:color w:val="0B0B0B"/>
                <w:sz w:val="15"/>
              </w:rPr>
              <w:t>86</w:t>
            </w:r>
          </w:p>
        </w:tc>
        <w:tc>
          <w:tcPr>
            <w:tcW w:type="dxa" w:w="1173"/>
            <w:shd w:val="clear" w:color="auto" w:fill="EEF3FA"/>
          </w:tcPr>
          <w:p>
            <w:pPr>
              <w:spacing w:before="32" w:after="32" w:line="240" w:lineRule="auto"/>
              <w:jc w:val="right"/>
            </w:pPr>
            <w:r>
              <w:rPr>
                <w:b w:val="0"/>
                <w:color w:val="0B0B0B"/>
                <w:sz w:val="15"/>
              </w:rPr>
              <w:t>73</w:t>
            </w:r>
          </w:p>
        </w:tc>
        <w:tc>
          <w:tcPr>
            <w:tcW w:type="dxa" w:w="1173"/>
            <w:shd w:val="clear" w:color="auto" w:fill="EEF3FA"/>
          </w:tcPr>
          <w:p>
            <w:pPr>
              <w:spacing w:before="32" w:after="32" w:line="240" w:lineRule="auto"/>
              <w:jc w:val="right"/>
            </w:pPr>
            <w:r>
              <w:rPr>
                <w:b w:val="0"/>
                <w:color w:val="0B0B0B"/>
                <w:sz w:val="15"/>
              </w:rPr>
              <w:t>-47</w:t>
            </w:r>
          </w:p>
        </w:tc>
        <w:tc>
          <w:tcPr>
            <w:tcW w:type="dxa" w:w="1173"/>
            <w:shd w:val="clear" w:color="auto" w:fill="EEF3FA"/>
          </w:tcPr>
          <w:p>
            <w:pPr>
              <w:spacing w:before="32" w:after="32" w:line="240" w:lineRule="auto"/>
              <w:jc w:val="right"/>
            </w:pPr>
            <w:r>
              <w:rPr>
                <w:b w:val="0"/>
                <w:color w:val="0B0B0B"/>
                <w:sz w:val="15"/>
              </w:rPr>
              <w:t>-307</w:t>
            </w:r>
          </w:p>
        </w:tc>
        <w:tc>
          <w:tcPr>
            <w:tcW w:type="dxa" w:w="1173"/>
            <w:shd w:val="clear" w:color="auto" w:fill="EEF3FA"/>
          </w:tcPr>
          <w:p>
            <w:pPr>
              <w:spacing w:before="32" w:after="32" w:line="240" w:lineRule="auto"/>
              <w:jc w:val="right"/>
            </w:pPr>
            <w:r>
              <w:rPr>
                <w:b w:val="0"/>
                <w:color w:val="0B0B0B"/>
                <w:sz w:val="15"/>
              </w:rPr>
              <w:t>907</w:t>
            </w:r>
          </w:p>
        </w:tc>
        <w:tc>
          <w:tcPr>
            <w:tcW w:type="dxa" w:w="1173"/>
            <w:shd w:val="clear" w:color="auto" w:fill="EEF3FA"/>
          </w:tcPr>
          <w:p>
            <w:pPr>
              <w:spacing w:before="32" w:after="32" w:line="240" w:lineRule="auto"/>
              <w:jc w:val="right"/>
            </w:pPr>
            <w:r>
              <w:rPr>
                <w:b w:val="0"/>
                <w:color w:val="0B0B0B"/>
                <w:sz w:val="15"/>
              </w:rPr>
              <w:t>1,178</w:t>
            </w:r>
          </w:p>
        </w:tc>
      </w:tr>
      <w:tr>
        <w:tc>
          <w:tcPr>
            <w:tcW w:type="dxa" w:w="3167"/>
            <w:shd w:val="clear" w:color="auto" w:fill="DCE6F2"/>
          </w:tcPr>
          <w:p>
            <w:pPr>
              <w:spacing w:before="32" w:after="32" w:line="240" w:lineRule="auto"/>
              <w:jc w:val="left"/>
            </w:pPr>
            <w:r>
              <w:rPr>
                <w:b/>
                <w:color w:val="0B0B0B"/>
                <w:sz w:val="15"/>
              </w:rPr>
              <w:t>Consolidated revenue</w:t>
            </w:r>
          </w:p>
        </w:tc>
        <w:tc>
          <w:tcPr>
            <w:tcW w:type="dxa" w:w="1173"/>
            <w:shd w:val="clear" w:color="auto" w:fill="DCE6F2"/>
          </w:tcPr>
          <w:p>
            <w:pPr>
              <w:spacing w:before="32" w:after="32" w:line="240" w:lineRule="auto"/>
              <w:jc w:val="right"/>
            </w:pPr>
            <w:r>
              <w:rPr>
                <w:b/>
                <w:color w:val="0B0B0B"/>
                <w:sz w:val="15"/>
              </w:rPr>
              <w:t>10,332</w:t>
            </w:r>
          </w:p>
        </w:tc>
        <w:tc>
          <w:tcPr>
            <w:tcW w:type="dxa" w:w="1173"/>
            <w:shd w:val="clear" w:color="auto" w:fill="DCE6F2"/>
          </w:tcPr>
          <w:p>
            <w:pPr>
              <w:spacing w:before="32" w:after="32" w:line="240" w:lineRule="auto"/>
              <w:jc w:val="right"/>
            </w:pPr>
            <w:r>
              <w:rPr>
                <w:b/>
                <w:color w:val="0B0B0B"/>
                <w:sz w:val="15"/>
              </w:rPr>
              <w:t>11,486</w:t>
            </w:r>
          </w:p>
        </w:tc>
        <w:tc>
          <w:tcPr>
            <w:tcW w:type="dxa" w:w="1173"/>
            <w:shd w:val="clear" w:color="auto" w:fill="DCE6F2"/>
          </w:tcPr>
          <w:p>
            <w:pPr>
              <w:spacing w:before="32" w:after="32" w:line="240" w:lineRule="auto"/>
              <w:jc w:val="right"/>
            </w:pPr>
            <w:r>
              <w:rPr>
                <w:b/>
                <w:color w:val="0B0B0B"/>
                <w:sz w:val="15"/>
              </w:rPr>
              <w:t>11,745</w:t>
            </w:r>
          </w:p>
        </w:tc>
        <w:tc>
          <w:tcPr>
            <w:tcW w:type="dxa" w:w="1173"/>
            <w:shd w:val="clear" w:color="auto" w:fill="DCE6F2"/>
          </w:tcPr>
          <w:p>
            <w:pPr>
              <w:spacing w:before="32" w:after="32" w:line="240" w:lineRule="auto"/>
              <w:jc w:val="right"/>
            </w:pPr>
            <w:r>
              <w:rPr>
                <w:b/>
                <w:color w:val="0B0B0B"/>
                <w:sz w:val="15"/>
              </w:rPr>
              <w:t>18,901</w:t>
            </w:r>
          </w:p>
        </w:tc>
        <w:tc>
          <w:tcPr>
            <w:tcW w:type="dxa" w:w="1173"/>
            <w:shd w:val="clear" w:color="auto" w:fill="DCE6F2"/>
          </w:tcPr>
          <w:p>
            <w:pPr>
              <w:spacing w:before="32" w:after="32" w:line="240" w:lineRule="auto"/>
              <w:jc w:val="right"/>
            </w:pPr>
            <w:r>
              <w:rPr>
                <w:b/>
                <w:color w:val="0B0B0B"/>
                <w:sz w:val="15"/>
              </w:rPr>
              <w:t>26,535</w:t>
            </w:r>
          </w:p>
        </w:tc>
        <w:tc>
          <w:tcPr>
            <w:tcW w:type="dxa" w:w="1173"/>
            <w:shd w:val="clear" w:color="auto" w:fill="DCE6F2"/>
          </w:tcPr>
          <w:p>
            <w:pPr>
              <w:spacing w:before="32" w:after="32" w:line="240" w:lineRule="auto"/>
              <w:jc w:val="right"/>
            </w:pPr>
            <w:r>
              <w:rPr>
                <w:b/>
                <w:color w:val="0B0B0B"/>
                <w:sz w:val="15"/>
              </w:rPr>
              <w:t>30,359</w:t>
            </w:r>
          </w:p>
        </w:tc>
      </w:tr>
    </w:tbl>
    <w:p>
      <w:pPr>
        <w:spacing w:before="40" w:after="120"/>
      </w:pPr>
      <w:r>
        <w:rPr>
          <w:b w:val="0"/>
          <w:i/>
          <w:color w:val="8A8880"/>
          <w:sz w:val="14"/>
        </w:rPr>
        <w:t>Source: analyst model, reported segment disclosure. The model does not carry segment revenue beyond FY28E — FY29E and FY30E segment revenue is therefore not shown rather than extrapolated. Segment EBITDA is available to FY30E and is in Exhibit 3 below.</w:t>
      </w:r>
    </w:p>
    <w:tbl>
      <w:tblPr>
        <w:tblW w:w="10205"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3167"/>
        <w:gridCol w:w="1407"/>
        <w:gridCol w:w="1407"/>
        <w:gridCol w:w="1407"/>
        <w:gridCol w:w="1407"/>
        <w:gridCol w:w="1407"/>
      </w:tblGrid>
      <w:tr>
        <w:tc>
          <w:tcPr>
            <w:tcW w:type="dxa" w:w="3167"/>
            <w:shd w:val="clear" w:color="auto" w:fill="1F3864"/>
          </w:tcPr>
          <w:p>
            <w:pPr>
              <w:spacing w:before="50" w:after="50"/>
              <w:jc w:val="left"/>
            </w:pPr>
            <w:r>
              <w:rPr>
                <w:b/>
                <w:color w:val="FFFFFF"/>
                <w:sz w:val="15"/>
              </w:rPr>
              <w:t>Revenue growth, yoy</w:t>
            </w:r>
          </w:p>
        </w:tc>
        <w:tc>
          <w:tcPr>
            <w:tcW w:type="dxa" w:w="1408"/>
            <w:shd w:val="clear" w:color="auto" w:fill="1F3864"/>
          </w:tcPr>
          <w:p>
            <w:pPr>
              <w:spacing w:before="50" w:after="50"/>
              <w:jc w:val="right"/>
            </w:pPr>
            <w:r>
              <w:rPr>
                <w:b/>
                <w:color w:val="FFFFFF"/>
                <w:sz w:val="15"/>
              </w:rPr>
              <w:t>FY24A</w:t>
            </w:r>
          </w:p>
        </w:tc>
        <w:tc>
          <w:tcPr>
            <w:tcW w:type="dxa" w:w="1408"/>
            <w:shd w:val="clear" w:color="auto" w:fill="1F3864"/>
          </w:tcPr>
          <w:p>
            <w:pPr>
              <w:spacing w:before="50" w:after="50"/>
              <w:jc w:val="right"/>
            </w:pPr>
            <w:r>
              <w:rPr>
                <w:b/>
                <w:color w:val="FFFFFF"/>
                <w:sz w:val="15"/>
              </w:rPr>
              <w:t>FY25A</w:t>
            </w:r>
          </w:p>
        </w:tc>
        <w:tc>
          <w:tcPr>
            <w:tcW w:type="dxa" w:w="1408"/>
            <w:shd w:val="clear" w:color="auto" w:fill="1F3864"/>
          </w:tcPr>
          <w:p>
            <w:pPr>
              <w:spacing w:before="50" w:after="50"/>
              <w:jc w:val="right"/>
            </w:pPr>
            <w:r>
              <w:rPr>
                <w:b/>
                <w:color w:val="FFFFFF"/>
                <w:sz w:val="15"/>
              </w:rPr>
              <w:t>FY26A</w:t>
            </w:r>
          </w:p>
        </w:tc>
        <w:tc>
          <w:tcPr>
            <w:tcW w:type="dxa" w:w="1408"/>
            <w:shd w:val="clear" w:color="auto" w:fill="1F3864"/>
          </w:tcPr>
          <w:p>
            <w:pPr>
              <w:spacing w:before="50" w:after="50"/>
              <w:jc w:val="right"/>
            </w:pPr>
            <w:r>
              <w:rPr>
                <w:b/>
                <w:color w:val="FFFFFF"/>
                <w:sz w:val="15"/>
              </w:rPr>
              <w:t>FY27E</w:t>
            </w:r>
          </w:p>
        </w:tc>
        <w:tc>
          <w:tcPr>
            <w:tcW w:type="dxa" w:w="1408"/>
            <w:shd w:val="clear" w:color="auto" w:fill="1F3864"/>
          </w:tcPr>
          <w:p>
            <w:pPr>
              <w:spacing w:before="50" w:after="50"/>
              <w:jc w:val="right"/>
            </w:pPr>
            <w:r>
              <w:rPr>
                <w:b/>
                <w:color w:val="FFFFFF"/>
                <w:sz w:val="15"/>
              </w:rPr>
              <w:t>FY28E</w:t>
            </w:r>
          </w:p>
        </w:tc>
      </w:tr>
      <w:tr>
        <w:tc>
          <w:tcPr>
            <w:tcW w:type="dxa" w:w="3167"/>
          </w:tcPr>
          <w:p>
            <w:pPr>
              <w:spacing w:before="32" w:after="32" w:line="240" w:lineRule="auto"/>
              <w:jc w:val="left"/>
            </w:pPr>
            <w:r>
              <w:rPr>
                <w:b w:val="0"/>
                <w:color w:val="0B0B0B"/>
                <w:sz w:val="15"/>
              </w:rPr>
              <w:t>Total Thermal</w:t>
            </w:r>
          </w:p>
        </w:tc>
        <w:tc>
          <w:tcPr>
            <w:tcW w:type="dxa" w:w="1408"/>
          </w:tcPr>
          <w:p>
            <w:pPr>
              <w:spacing w:before="32" w:after="32" w:line="240" w:lineRule="auto"/>
              <w:jc w:val="right"/>
            </w:pPr>
            <w:r>
              <w:rPr>
                <w:b w:val="0"/>
                <w:color w:val="0B0B0B"/>
                <w:sz w:val="15"/>
              </w:rPr>
              <w:t>-7%</w:t>
            </w:r>
          </w:p>
        </w:tc>
        <w:tc>
          <w:tcPr>
            <w:tcW w:type="dxa" w:w="1408"/>
          </w:tcPr>
          <w:p>
            <w:pPr>
              <w:spacing w:before="32" w:after="32" w:line="240" w:lineRule="auto"/>
              <w:jc w:val="right"/>
            </w:pPr>
            <w:r>
              <w:rPr>
                <w:b w:val="0"/>
                <w:color w:val="0B0B0B"/>
                <w:sz w:val="15"/>
              </w:rPr>
              <w:t>1%</w:t>
            </w:r>
          </w:p>
        </w:tc>
        <w:tc>
          <w:tcPr>
            <w:tcW w:type="dxa" w:w="1408"/>
          </w:tcPr>
          <w:p>
            <w:pPr>
              <w:spacing w:before="32" w:after="32" w:line="240" w:lineRule="auto"/>
              <w:jc w:val="right"/>
            </w:pPr>
            <w:r>
              <w:rPr>
                <w:b w:val="0"/>
                <w:color w:val="0B0B0B"/>
                <w:sz w:val="15"/>
              </w:rPr>
              <w:t>63%</w:t>
            </w:r>
          </w:p>
        </w:tc>
        <w:tc>
          <w:tcPr>
            <w:tcW w:type="dxa" w:w="1408"/>
          </w:tcPr>
          <w:p>
            <w:pPr>
              <w:spacing w:before="32" w:after="32" w:line="240" w:lineRule="auto"/>
              <w:jc w:val="right"/>
            </w:pPr>
            <w:r>
              <w:rPr>
                <w:b w:val="0"/>
                <w:color w:val="0B0B0B"/>
                <w:sz w:val="15"/>
              </w:rPr>
              <w:t>25%</w:t>
            </w:r>
          </w:p>
        </w:tc>
        <w:tc>
          <w:tcPr>
            <w:tcW w:type="dxa" w:w="1408"/>
          </w:tcPr>
          <w:p>
            <w:pPr>
              <w:spacing w:before="32" w:after="32" w:line="240" w:lineRule="auto"/>
              <w:jc w:val="right"/>
            </w:pPr>
            <w:r>
              <w:rPr>
                <w:b w:val="0"/>
                <w:color w:val="0B0B0B"/>
                <w:sz w:val="15"/>
              </w:rPr>
              <w:t>2%</w:t>
            </w:r>
          </w:p>
        </w:tc>
      </w:tr>
      <w:tr>
        <w:tc>
          <w:tcPr>
            <w:tcW w:type="dxa" w:w="3167"/>
            <w:shd w:val="clear" w:color="auto" w:fill="EEF3FA"/>
          </w:tcPr>
          <w:p>
            <w:pPr>
              <w:spacing w:before="32" w:after="32" w:line="240" w:lineRule="auto"/>
              <w:jc w:val="left"/>
            </w:pPr>
            <w:r>
              <w:rPr>
                <w:b w:val="0"/>
                <w:color w:val="0B0B0B"/>
                <w:sz w:val="15"/>
              </w:rPr>
              <w:t>Hydro</w:t>
            </w:r>
          </w:p>
        </w:tc>
        <w:tc>
          <w:tcPr>
            <w:tcW w:type="dxa" w:w="1408"/>
            <w:shd w:val="clear" w:color="auto" w:fill="EEF3FA"/>
          </w:tcPr>
          <w:p>
            <w:pPr>
              <w:spacing w:before="32" w:after="32" w:line="240" w:lineRule="auto"/>
              <w:jc w:val="right"/>
            </w:pPr>
            <w:r>
              <w:rPr>
                <w:b w:val="0"/>
                <w:color w:val="0B0B0B"/>
                <w:sz w:val="15"/>
              </w:rPr>
              <w:t>3%</w:t>
            </w:r>
          </w:p>
        </w:tc>
        <w:tc>
          <w:tcPr>
            <w:tcW w:type="dxa" w:w="1408"/>
            <w:shd w:val="clear" w:color="auto" w:fill="EEF3FA"/>
          </w:tcPr>
          <w:p>
            <w:pPr>
              <w:spacing w:before="32" w:after="32" w:line="240" w:lineRule="auto"/>
              <w:jc w:val="right"/>
            </w:pPr>
            <w:r>
              <w:rPr>
                <w:b w:val="0"/>
                <w:color w:val="0B0B0B"/>
                <w:sz w:val="15"/>
              </w:rPr>
              <w:t>-16%</w:t>
            </w:r>
          </w:p>
        </w:tc>
        <w:tc>
          <w:tcPr>
            <w:tcW w:type="dxa" w:w="1408"/>
            <w:shd w:val="clear" w:color="auto" w:fill="EEF3FA"/>
          </w:tcPr>
          <w:p>
            <w:pPr>
              <w:spacing w:before="32" w:after="32" w:line="240" w:lineRule="auto"/>
              <w:jc w:val="right"/>
            </w:pPr>
            <w:r>
              <w:rPr>
                <w:b w:val="0"/>
                <w:color w:val="0B0B0B"/>
                <w:sz w:val="15"/>
              </w:rPr>
              <w:t>-3%</w:t>
            </w:r>
          </w:p>
        </w:tc>
        <w:tc>
          <w:tcPr>
            <w:tcW w:type="dxa" w:w="1408"/>
            <w:shd w:val="clear" w:color="auto" w:fill="EEF3FA"/>
          </w:tcPr>
          <w:p>
            <w:pPr>
              <w:spacing w:before="32" w:after="32" w:line="240" w:lineRule="auto"/>
              <w:jc w:val="right"/>
            </w:pPr>
            <w:r>
              <w:rPr>
                <w:b w:val="0"/>
                <w:color w:val="0B0B0B"/>
                <w:sz w:val="15"/>
              </w:rPr>
              <w:t>53%</w:t>
            </w:r>
          </w:p>
        </w:tc>
        <w:tc>
          <w:tcPr>
            <w:tcW w:type="dxa" w:w="1408"/>
            <w:shd w:val="clear" w:color="auto" w:fill="EEF3FA"/>
          </w:tcPr>
          <w:p>
            <w:pPr>
              <w:spacing w:before="32" w:after="32" w:line="240" w:lineRule="auto"/>
              <w:jc w:val="right"/>
            </w:pPr>
            <w:r>
              <w:rPr>
                <w:b w:val="0"/>
                <w:color w:val="0B0B0B"/>
                <w:sz w:val="15"/>
              </w:rPr>
              <w:t>-0%</w:t>
            </w:r>
          </w:p>
        </w:tc>
      </w:tr>
      <w:tr>
        <w:tc>
          <w:tcPr>
            <w:tcW w:type="dxa" w:w="3167"/>
          </w:tcPr>
          <w:p>
            <w:pPr>
              <w:spacing w:before="32" w:after="32" w:line="240" w:lineRule="auto"/>
              <w:jc w:val="left"/>
            </w:pPr>
            <w:r>
              <w:rPr>
                <w:b w:val="0"/>
                <w:color w:val="0B0B0B"/>
                <w:sz w:val="15"/>
              </w:rPr>
              <w:t>Renewables</w:t>
            </w:r>
          </w:p>
        </w:tc>
        <w:tc>
          <w:tcPr>
            <w:tcW w:type="dxa" w:w="1408"/>
          </w:tcPr>
          <w:p>
            <w:pPr>
              <w:spacing w:before="32" w:after="32" w:line="240" w:lineRule="auto"/>
              <w:jc w:val="right"/>
            </w:pPr>
            <w:r>
              <w:rPr>
                <w:b w:val="0"/>
                <w:color w:val="0B0B0B"/>
                <w:sz w:val="15"/>
              </w:rPr>
              <w:t>1,154%</w:t>
            </w:r>
          </w:p>
        </w:tc>
        <w:tc>
          <w:tcPr>
            <w:tcW w:type="dxa" w:w="1408"/>
          </w:tcPr>
          <w:p>
            <w:pPr>
              <w:spacing w:before="32" w:after="32" w:line="240" w:lineRule="auto"/>
              <w:jc w:val="right"/>
            </w:pPr>
            <w:r>
              <w:rPr>
                <w:b w:val="0"/>
                <w:color w:val="0B0B0B"/>
                <w:sz w:val="15"/>
              </w:rPr>
              <w:t>28%</w:t>
            </w:r>
          </w:p>
        </w:tc>
        <w:tc>
          <w:tcPr>
            <w:tcW w:type="dxa" w:w="1408"/>
          </w:tcPr>
          <w:p>
            <w:pPr>
              <w:spacing w:before="32" w:after="32" w:line="240" w:lineRule="auto"/>
              <w:jc w:val="right"/>
            </w:pPr>
            <w:r>
              <w:rPr>
                <w:b w:val="0"/>
                <w:color w:val="0B0B0B"/>
                <w:sz w:val="15"/>
              </w:rPr>
              <w:t>93%</w:t>
            </w:r>
          </w:p>
        </w:tc>
        <w:tc>
          <w:tcPr>
            <w:tcW w:type="dxa" w:w="1408"/>
          </w:tcPr>
          <w:p>
            <w:pPr>
              <w:spacing w:before="32" w:after="32" w:line="240" w:lineRule="auto"/>
              <w:jc w:val="right"/>
            </w:pPr>
            <w:r>
              <w:rPr>
                <w:b w:val="0"/>
                <w:color w:val="0B0B0B"/>
                <w:sz w:val="15"/>
              </w:rPr>
              <w:t>52%</w:t>
            </w:r>
          </w:p>
        </w:tc>
        <w:tc>
          <w:tcPr>
            <w:tcW w:type="dxa" w:w="1408"/>
          </w:tcPr>
          <w:p>
            <w:pPr>
              <w:spacing w:before="32" w:after="32" w:line="240" w:lineRule="auto"/>
              <w:jc w:val="right"/>
            </w:pPr>
            <w:r>
              <w:rPr>
                <w:b w:val="0"/>
                <w:color w:val="0B0B0B"/>
                <w:sz w:val="15"/>
              </w:rPr>
              <w:t>44%</w:t>
            </w:r>
          </w:p>
        </w:tc>
      </w:tr>
      <w:tr>
        <w:tc>
          <w:tcPr>
            <w:tcW w:type="dxa" w:w="3167"/>
            <w:shd w:val="clear" w:color="auto" w:fill="DCE6F2"/>
          </w:tcPr>
          <w:p>
            <w:pPr>
              <w:spacing w:before="32" w:after="32" w:line="240" w:lineRule="auto"/>
              <w:jc w:val="left"/>
            </w:pPr>
            <w:r>
              <w:rPr>
                <w:b/>
                <w:color w:val="0B0B0B"/>
                <w:sz w:val="15"/>
              </w:rPr>
              <w:t>Consolidated revenue</w:t>
            </w:r>
          </w:p>
        </w:tc>
        <w:tc>
          <w:tcPr>
            <w:tcW w:type="dxa" w:w="1408"/>
            <w:shd w:val="clear" w:color="auto" w:fill="DCE6F2"/>
          </w:tcPr>
          <w:p>
            <w:pPr>
              <w:spacing w:before="32" w:after="32" w:line="240" w:lineRule="auto"/>
              <w:jc w:val="right"/>
            </w:pPr>
            <w:r>
              <w:rPr>
                <w:b/>
                <w:color w:val="0B0B0B"/>
                <w:sz w:val="15"/>
              </w:rPr>
              <w:t>11%</w:t>
            </w:r>
          </w:p>
        </w:tc>
        <w:tc>
          <w:tcPr>
            <w:tcW w:type="dxa" w:w="1408"/>
            <w:shd w:val="clear" w:color="auto" w:fill="DCE6F2"/>
          </w:tcPr>
          <w:p>
            <w:pPr>
              <w:spacing w:before="32" w:after="32" w:line="240" w:lineRule="auto"/>
              <w:jc w:val="right"/>
            </w:pPr>
            <w:r>
              <w:rPr>
                <w:b/>
                <w:color w:val="0B0B0B"/>
                <w:sz w:val="15"/>
              </w:rPr>
              <w:t>2%</w:t>
            </w:r>
          </w:p>
        </w:tc>
        <w:tc>
          <w:tcPr>
            <w:tcW w:type="dxa" w:w="1408"/>
            <w:shd w:val="clear" w:color="auto" w:fill="DCE6F2"/>
          </w:tcPr>
          <w:p>
            <w:pPr>
              <w:spacing w:before="32" w:after="32" w:line="240" w:lineRule="auto"/>
              <w:jc w:val="right"/>
            </w:pPr>
            <w:r>
              <w:rPr>
                <w:b/>
                <w:color w:val="0B0B0B"/>
                <w:sz w:val="15"/>
              </w:rPr>
              <w:t>61%</w:t>
            </w:r>
          </w:p>
        </w:tc>
        <w:tc>
          <w:tcPr>
            <w:tcW w:type="dxa" w:w="1408"/>
            <w:shd w:val="clear" w:color="auto" w:fill="DCE6F2"/>
          </w:tcPr>
          <w:p>
            <w:pPr>
              <w:spacing w:before="32" w:after="32" w:line="240" w:lineRule="auto"/>
              <w:jc w:val="right"/>
            </w:pPr>
            <w:r>
              <w:rPr>
                <w:b/>
                <w:color w:val="0B0B0B"/>
                <w:sz w:val="15"/>
              </w:rPr>
              <w:t>40%</w:t>
            </w:r>
          </w:p>
        </w:tc>
        <w:tc>
          <w:tcPr>
            <w:tcW w:type="dxa" w:w="1408"/>
            <w:shd w:val="clear" w:color="auto" w:fill="DCE6F2"/>
          </w:tcPr>
          <w:p>
            <w:pPr>
              <w:spacing w:before="32" w:after="32" w:line="240" w:lineRule="auto"/>
              <w:jc w:val="right"/>
            </w:pPr>
            <w:r>
              <w:rPr>
                <w:b/>
                <w:color w:val="0B0B0B"/>
                <w:sz w:val="15"/>
              </w:rPr>
              <w:t>14%</w:t>
            </w:r>
          </w:p>
        </w:tc>
      </w:tr>
    </w:tbl>
    <w:p>
      <w:pPr>
        <w:spacing w:before="0" w:after="80"/>
      </w:pPr>
      <w:r>
        <w:rPr>
          <w:b w:val="0"/>
          <w:i w:val="0"/>
          <w:color w:val="0B0B0B"/>
          <w:sz w:val="8"/>
        </w:rPr>
      </w:r>
    </w:p>
    <w:p>
      <w:pPr>
        <w:spacing w:before="120" w:after="40"/>
        <w:jc w:val="center"/>
      </w:pPr>
      <w:r>
        <w:drawing>
          <wp:inline xmlns:a="http://schemas.openxmlformats.org/drawingml/2006/main" xmlns:pic="http://schemas.openxmlformats.org/drawingml/2006/picture">
            <wp:extent cx="4896000" cy="2857312"/>
            <wp:docPr id="3" name="Picture 3"/>
            <wp:cNvGraphicFramePr>
              <a:graphicFrameLocks noChangeAspect="1"/>
            </wp:cNvGraphicFramePr>
            <a:graphic>
              <a:graphicData uri="http://schemas.openxmlformats.org/drawingml/2006/picture">
                <pic:pic>
                  <pic:nvPicPr>
                    <pic:cNvPr id="0" name="ex2_segment_mix.png"/>
                    <pic:cNvPicPr/>
                  </pic:nvPicPr>
                  <pic:blipFill>
                    <a:blip r:embed="rId11"/>
                    <a:stretch>
                      <a:fillRect/>
                    </a:stretch>
                  </pic:blipFill>
                  <pic:spPr>
                    <a:xfrm>
                      <a:off x="0" y="0"/>
                      <a:ext cx="4896000" cy="2857312"/>
                    </a:xfrm>
                    <a:prstGeom prst="rect"/>
                  </pic:spPr>
                </pic:pic>
              </a:graphicData>
            </a:graphic>
          </wp:inline>
        </w:drawing>
      </w:r>
    </w:p>
    <w:p>
      <w:pPr>
        <w:spacing w:before="0" w:after="140"/>
      </w:pPr>
      <w:r>
        <w:rPr>
          <w:b w:val="0"/>
          <w:i/>
          <w:color w:val="8A8880"/>
          <w:sz w:val="14"/>
        </w:rPr>
        <w:t>Exhibit 3  Segment EBITDA mix, FY25A–FY30E, Rs. crore. 'Others' is the balancing item between segment and consolidated EBITDA. Source: analyst model.</w:t>
      </w:r>
    </w:p>
    <w:p>
      <w:pPr>
        <w:pStyle w:val="ListBullet"/>
        <w:spacing w:after="50" w:line="252" w:lineRule="auto"/>
        <w:ind w:left="312"/>
      </w:pPr>
      <w:r>
        <w:rPr>
          <w:b/>
          <w:color w:val="0B0B0B"/>
          <w:sz w:val="17"/>
        </w:rPr>
        <w:t xml:space="preserve">Thermal — 42% of FY26A revenue, 55% of FY26A EBITDA, but shrinking. </w:t>
      </w:r>
      <w:r>
        <w:rPr>
          <w:color w:val="0B0B0B"/>
          <w:sz w:val="17"/>
        </w:rPr>
        <w:t>thermal (5,958MW from FY27E). Sells to Rajasthan discoms (Barmer, 1,080MW on a 30-year RERC-regulated PPA at 15% RoE), to Andhra Pradesh, Tamil Nadu and Uttar Pradesh (KSK, 95% tied), to MSEDCL (300MW at Ratnagiri), to the JSW group under captive arrangements (Vijayanagar 860MW, Ratnagiri ~850MW, Nandyal 18MW) and merchant. Margin behaviour under stress is well documented: FY23 thermal EBITDA fell to Rs.1,986cr as imported coal prices spiked, because only the regulated Barmer contract is a genuine fuel pass-through. Capacity is fully built; growth is realisation-led, not volume-led, and the only volume unlock is PLF at KSK and Ind-Barath.</w:t>
      </w:r>
    </w:p>
    <w:p>
      <w:pPr>
        <w:pStyle w:val="ListBullet"/>
        <w:spacing w:after="50" w:line="252" w:lineRule="auto"/>
        <w:ind w:left="312"/>
      </w:pPr>
      <w:r>
        <w:rPr>
          <w:b/>
          <w:color w:val="0B0B0B"/>
          <w:sz w:val="17"/>
        </w:rPr>
        <w:t xml:space="preserve">Hydro — 6% of FY26A revenue, 9% of FY26A EBITDA. </w:t>
      </w:r>
      <w:r>
        <w:rPr>
          <w:color w:val="0B0B0B"/>
          <w:sz w:val="17"/>
        </w:rPr>
        <w:t>hydro (1,631MW, plus Tidong 150MW acquired in FY27). Karcham Wangtoo and Baspa II sell on long-term PPAs running to 2046 and 2043. The free-power obligation to Himachal Pradesh has just worsened permanently: the Supreme Court, on 16 July 2025, set aside a favourable High Court judgment and directed JSW Hydro to supply 18% free power — not 12% — with effect from 14 September 2023. The company began supplying 18% from 19 July 2025 and, in a meeting of 12 November 2025, agreed to make good the additional 6% for the back period from future untied generation at Karcham Wangtoo. That is a permanent six-percentage-point reduction in saleable output from the company's highest-margin asset, and it is not flagged anywhere in the model. Kutehr (240MW) commissioned in FY26 on a 35+35 year Haryana PPA at Rs.4.45/unit. Hydro margins remain structurally high (97% of hydro revenue converted to EBITDA in FY26A); the swing factor is hydrology, and management argues run-of-river output is resilient to a 6–8% below-normal monsoon because snowmelt substitutes for rainfall.</w:t>
      </w:r>
    </w:p>
    <w:p>
      <w:pPr>
        <w:pStyle w:val="ListBullet"/>
        <w:spacing w:after="50" w:line="252" w:lineRule="auto"/>
        <w:ind w:left="312"/>
      </w:pPr>
      <w:r>
        <w:rPr>
          <w:b/>
          <w:color w:val="0B0B0B"/>
          <w:sz w:val="17"/>
        </w:rPr>
        <w:t xml:space="preserve">Renewables — 25% of FY26A revenue, 40% of FY26A EBITDA, 71% by FY30E. </w:t>
      </w:r>
      <w:r>
        <w:rPr>
          <w:color w:val="0B0B0B"/>
          <w:sz w:val="17"/>
        </w:rPr>
        <w:t>renewables (6,165MW at FY26A, 18,316MW by FY30E). Sells almost entirely on 25-year fixed-tariff PPAs won in SECI, NTPC, SJVN, GUVNL and state tenders, plus group captive to JSW Steel. This is the only segment with material volume growth, and its margin is the reason consolidated margin rises: renewables converted 85% of revenue to EBITDA in FY26A against 49% for thermal. Growth is constrained by land, evacuation connectivity and the pace of tender awards, not by demand.</w:t>
      </w:r>
    </w:p>
    <w:p>
      <w:pPr>
        <w:pStyle w:val="ListBullet"/>
        <w:spacing w:after="50" w:line="252" w:lineRule="auto"/>
        <w:ind w:left="312"/>
      </w:pPr>
      <w:r>
        <w:rPr>
          <w:b/>
          <w:color w:val="0B0B0B"/>
          <w:sz w:val="17"/>
        </w:rPr>
        <w:t xml:space="preserve">Others. </w:t>
      </w:r>
      <w:r>
        <w:rPr>
          <w:color w:val="0B0B0B"/>
          <w:sz w:val="17"/>
        </w:rPr>
        <w:t>holdco costs, the transmission JV, the trading desk, green hydrogen and the shelved solar module plant. It lost Rs.642cr of EBITDA in FY26A and the model assumes it turns positive from FY27E — an assumption worth Rs.816cr of the FY27E EBITDA step-up and one that is not explained in the model.</w:t>
      </w:r>
    </w:p>
    <w:p>
      <w:pPr>
        <w:keepNext/>
        <w:spacing w:before="180" w:after="40"/>
      </w:pPr>
      <w:r>
        <w:rPr>
          <w:b/>
          <w:color w:val="1F3864"/>
          <w:sz w:val="21"/>
        </w:rPr>
        <w:t>6.  Business Model &amp; Value Chain</w:t>
      </w:r>
    </w:p>
    <w:p>
      <w:pPr>
        <w:spacing w:before="0" w:after="100"/>
      </w:pPr>
      <w:r>
        <w:rPr>
          <w:b w:val="0"/>
          <w:i w:val="0"/>
          <w:color w:val="0B0B0B"/>
          <w:sz w:val="17"/>
        </w:rPr>
        <w:t>From input to end market: for thermal, JSW Energy buys coal (imported at Ratnagiri and Vijayanagar, domestic e-auction and Shakti-linked at Ind-Barath and KSK, captive lignite at Barmer from the 51%-owned Barmer Lignite Mining JV), burns it, and sells electricity under long-term PPAs, group captive contracts or into the power exchange. For renewables and hydro there is no fuel cost at all — the plant is built once and the revenue is a fixed tariff for 25 to 40 years. Input concentration is real on the thermal side: Ratnagiri and Vijayanagar depend on imported coal and therefore carry direct rupee-dollar and seaborne-coal exposure, which is why FY23 EBITDA fell 8% in a year when revenue rose 27%.</w:t>
      </w:r>
    </w:p>
    <w:p>
      <w:pPr>
        <w:spacing w:before="0" w:after="100"/>
      </w:pPr>
      <w:r>
        <w:rPr>
          <w:b w:val="0"/>
          <w:i w:val="0"/>
          <w:color w:val="0B0B0B"/>
          <w:sz w:val="17"/>
        </w:rPr>
        <w:t>Where the moat sits, in layers. There is no technology moat. The first layer is contractual: 25-to-40 year PPAs with sovereign-adjacent counterparties (SECI, NTPC, state discoms) that fix price and offtake, and a regulated 15% RoE at Barmer. The second is site and connectivity — grid evacuation capacity and land at scale in Rajasthan, Tamil Nadu, Karnataka and Gujarat take years to assemble and are the binding constraint on Indian renewable build today. The third is group: JSW Steel, JSW Cement and JSW Paints are captive offtakers for roughly 1,700MW, which is a genuinely sticky customer base and simultaneously a related-party concentration (Section 21). The fourth is cost of capital — in a reverse-auction market where every bidder buys the same panels and turbines, the cheapest funder wins the tender. JSW Energy's AA rating supports this; its 2.3x net-debt-to-equity works against it.</w:t>
      </w:r>
    </w:p>
    <w:p>
      <w:pPr>
        <w:spacing w:before="0" w:after="100"/>
      </w:pPr>
      <w:r>
        <w:rPr>
          <w:b w:val="0"/>
          <w:i w:val="0"/>
          <w:color w:val="0B0B0B"/>
          <w:sz w:val="17"/>
        </w:rPr>
        <w:t>Capital intensity is the defining feature. Gross block was Rs.88,885cr at FY26A against Rs.18,901cr of revenue — a 0.25x fixed-asset turn, falling to 0.24x by FY30E as lower-turn renewable and storage assets are added. At that turn a business cannot self-fund growth; Sections 17 and 18 set out how it is financed instead.</w:t>
      </w:r>
    </w:p>
    <w:p>
      <w:pPr>
        <w:keepNext/>
        <w:spacing w:before="180" w:after="40"/>
      </w:pPr>
      <w:r>
        <w:rPr>
          <w:b/>
          <w:color w:val="1F3864"/>
          <w:sz w:val="21"/>
        </w:rPr>
        <w:t>7.  Capacity, Utilisation and Capex Plan</w:t>
      </w:r>
    </w:p>
    <w:p>
      <w:pPr>
        <w:spacing w:before="120" w:after="40"/>
        <w:jc w:val="center"/>
      </w:pPr>
      <w:r>
        <w:drawing>
          <wp:inline xmlns:a="http://schemas.openxmlformats.org/drawingml/2006/main" xmlns:pic="http://schemas.openxmlformats.org/drawingml/2006/picture">
            <wp:extent cx="4896000" cy="2790405"/>
            <wp:docPr id="4" name="Picture 4"/>
            <wp:cNvGraphicFramePr>
              <a:graphicFrameLocks noChangeAspect="1"/>
            </wp:cNvGraphicFramePr>
            <a:graphic>
              <a:graphicData uri="http://schemas.openxmlformats.org/drawingml/2006/picture">
                <pic:pic>
                  <pic:nvPicPr>
                    <pic:cNvPr id="0" name="ex3_capacity.png"/>
                    <pic:cNvPicPr/>
                  </pic:nvPicPr>
                  <pic:blipFill>
                    <a:blip r:embed="rId12"/>
                    <a:stretch>
                      <a:fillRect/>
                    </a:stretch>
                  </pic:blipFill>
                  <pic:spPr>
                    <a:xfrm>
                      <a:off x="0" y="0"/>
                      <a:ext cx="4896000" cy="2790405"/>
                    </a:xfrm>
                    <a:prstGeom prst="rect"/>
                  </pic:spPr>
                </pic:pic>
              </a:graphicData>
            </a:graphic>
          </wp:inline>
        </w:drawing>
      </w:r>
    </w:p>
    <w:p>
      <w:pPr>
        <w:spacing w:before="0" w:after="140"/>
      </w:pPr>
      <w:r>
        <w:rPr>
          <w:b w:val="0"/>
          <w:i/>
          <w:color w:val="8A8880"/>
          <w:sz w:val="14"/>
        </w:rPr>
        <w:t>Exhibit 4  Operational capacity by technology, FY23A–FY30E, MW. Excludes storage (875MW BESS from FY28E, 2,375MW including PSP by FY30E). Source: analyst model.</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1407"/>
        <w:gridCol w:w="1407"/>
        <w:gridCol w:w="645"/>
        <w:gridCol w:w="762"/>
        <w:gridCol w:w="762"/>
        <w:gridCol w:w="1759"/>
        <w:gridCol w:w="3460"/>
      </w:tblGrid>
      <w:tr>
        <w:tc>
          <w:tcPr>
            <w:tcW w:type="dxa" w:w="1408"/>
            <w:shd w:val="clear" w:color="auto" w:fill="1F3864"/>
          </w:tcPr>
          <w:p>
            <w:pPr>
              <w:spacing w:before="50" w:after="50"/>
              <w:jc w:val="left"/>
            </w:pPr>
            <w:r>
              <w:rPr>
                <w:b/>
                <w:color w:val="FFFFFF"/>
                <w:sz w:val="14"/>
              </w:rPr>
              <w:t>Plant / block</w:t>
            </w:r>
          </w:p>
        </w:tc>
        <w:tc>
          <w:tcPr>
            <w:tcW w:type="dxa" w:w="1408"/>
            <w:shd w:val="clear" w:color="auto" w:fill="1F3864"/>
          </w:tcPr>
          <w:p>
            <w:pPr>
              <w:spacing w:before="50" w:after="50"/>
              <w:jc w:val="right"/>
            </w:pPr>
            <w:r>
              <w:rPr>
                <w:b/>
                <w:color w:val="FFFFFF"/>
                <w:sz w:val="14"/>
              </w:rPr>
              <w:t>Location</w:t>
            </w:r>
          </w:p>
        </w:tc>
        <w:tc>
          <w:tcPr>
            <w:tcW w:type="dxa" w:w="645"/>
            <w:shd w:val="clear" w:color="auto" w:fill="1F3864"/>
          </w:tcPr>
          <w:p>
            <w:pPr>
              <w:spacing w:before="50" w:after="50"/>
              <w:jc w:val="right"/>
            </w:pPr>
            <w:r>
              <w:rPr>
                <w:b/>
                <w:color w:val="FFFFFF"/>
                <w:sz w:val="14"/>
              </w:rPr>
              <w:t>MW</w:t>
            </w:r>
          </w:p>
        </w:tc>
        <w:tc>
          <w:tcPr>
            <w:tcW w:type="dxa" w:w="762"/>
            <w:shd w:val="clear" w:color="auto" w:fill="1F3864"/>
          </w:tcPr>
          <w:p>
            <w:pPr>
              <w:spacing w:before="50" w:after="50"/>
              <w:jc w:val="right"/>
            </w:pPr>
            <w:r>
              <w:rPr>
                <w:b/>
                <w:color w:val="FFFFFF"/>
                <w:sz w:val="14"/>
              </w:rPr>
              <w:t>PLF FY26A</w:t>
            </w:r>
          </w:p>
        </w:tc>
        <w:tc>
          <w:tcPr>
            <w:tcW w:type="dxa" w:w="762"/>
            <w:shd w:val="clear" w:color="auto" w:fill="1F3864"/>
          </w:tcPr>
          <w:p>
            <w:pPr>
              <w:spacing w:before="50" w:after="50"/>
              <w:jc w:val="right"/>
            </w:pPr>
            <w:r>
              <w:rPr>
                <w:b/>
                <w:color w:val="FFFFFF"/>
                <w:sz w:val="14"/>
              </w:rPr>
              <w:t>PLF FY27E</w:t>
            </w:r>
          </w:p>
        </w:tc>
        <w:tc>
          <w:tcPr>
            <w:tcW w:type="dxa" w:w="1759"/>
            <w:shd w:val="clear" w:color="auto" w:fill="1F3864"/>
          </w:tcPr>
          <w:p>
            <w:pPr>
              <w:spacing w:before="50" w:after="50"/>
              <w:jc w:val="right"/>
            </w:pPr>
            <w:r>
              <w:rPr>
                <w:b/>
                <w:color w:val="FFFFFF"/>
                <w:sz w:val="14"/>
              </w:rPr>
              <w:t>Fuel / resource</w:t>
            </w:r>
          </w:p>
        </w:tc>
        <w:tc>
          <w:tcPr>
            <w:tcW w:type="dxa" w:w="3460"/>
            <w:shd w:val="clear" w:color="auto" w:fill="1F3864"/>
          </w:tcPr>
          <w:p>
            <w:pPr>
              <w:spacing w:before="50" w:after="50"/>
              <w:jc w:val="right"/>
            </w:pPr>
            <w:r>
              <w:rPr>
                <w:b/>
                <w:color w:val="FFFFFF"/>
                <w:sz w:val="14"/>
              </w:rPr>
              <w:t>Status and commissioning</w:t>
            </w:r>
          </w:p>
        </w:tc>
      </w:tr>
      <w:tr>
        <w:tc>
          <w:tcPr>
            <w:tcW w:type="dxa" w:w="1408"/>
          </w:tcPr>
          <w:p>
            <w:pPr>
              <w:spacing w:before="32" w:after="32" w:line="240" w:lineRule="auto"/>
              <w:jc w:val="left"/>
            </w:pPr>
            <w:r>
              <w:rPr>
                <w:b w:val="0"/>
                <w:color w:val="0B0B0B"/>
                <w:sz w:val="14"/>
              </w:rPr>
              <w:t>Ratnagiri</w:t>
            </w:r>
          </w:p>
        </w:tc>
        <w:tc>
          <w:tcPr>
            <w:tcW w:type="dxa" w:w="1408"/>
          </w:tcPr>
          <w:p>
            <w:pPr>
              <w:spacing w:before="32" w:after="32" w:line="240" w:lineRule="auto"/>
              <w:jc w:val="right"/>
            </w:pPr>
            <w:r>
              <w:rPr>
                <w:b w:val="0"/>
                <w:color w:val="0B0B0B"/>
                <w:sz w:val="14"/>
              </w:rPr>
              <w:t>Jaigad, Maharashtra</w:t>
            </w:r>
          </w:p>
        </w:tc>
        <w:tc>
          <w:tcPr>
            <w:tcW w:type="dxa" w:w="645"/>
          </w:tcPr>
          <w:p>
            <w:pPr>
              <w:spacing w:before="32" w:after="32" w:line="240" w:lineRule="auto"/>
              <w:jc w:val="right"/>
            </w:pPr>
            <w:r>
              <w:rPr>
                <w:b w:val="0"/>
                <w:color w:val="0B0B0B"/>
                <w:sz w:val="14"/>
              </w:rPr>
              <w:t>1,200</w:t>
            </w:r>
          </w:p>
        </w:tc>
        <w:tc>
          <w:tcPr>
            <w:tcW w:type="dxa" w:w="762"/>
          </w:tcPr>
          <w:p>
            <w:pPr>
              <w:spacing w:before="32" w:after="32" w:line="240" w:lineRule="auto"/>
              <w:jc w:val="right"/>
            </w:pPr>
            <w:r>
              <w:rPr>
                <w:b w:val="0"/>
                <w:color w:val="0B0B0B"/>
                <w:sz w:val="14"/>
              </w:rPr>
              <w:t>72%</w:t>
            </w:r>
          </w:p>
        </w:tc>
        <w:tc>
          <w:tcPr>
            <w:tcW w:type="dxa" w:w="762"/>
          </w:tcPr>
          <w:p>
            <w:pPr>
              <w:spacing w:before="32" w:after="32" w:line="240" w:lineRule="auto"/>
              <w:jc w:val="right"/>
            </w:pPr>
            <w:r>
              <w:rPr>
                <w:b w:val="0"/>
                <w:color w:val="0B0B0B"/>
                <w:sz w:val="14"/>
              </w:rPr>
              <w:t>74%</w:t>
            </w:r>
          </w:p>
        </w:tc>
        <w:tc>
          <w:tcPr>
            <w:tcW w:type="dxa" w:w="1759"/>
          </w:tcPr>
          <w:p>
            <w:pPr>
              <w:spacing w:before="32" w:after="32" w:line="240" w:lineRule="auto"/>
              <w:jc w:val="right"/>
            </w:pPr>
            <w:r>
              <w:rPr>
                <w:b w:val="0"/>
                <w:color w:val="0B0B0B"/>
                <w:sz w:val="14"/>
              </w:rPr>
              <w:t>Imported coal + domestic e-auction</w:t>
            </w:r>
          </w:p>
        </w:tc>
        <w:tc>
          <w:tcPr>
            <w:tcW w:type="dxa" w:w="3460"/>
          </w:tcPr>
          <w:p>
            <w:pPr>
              <w:spacing w:before="32" w:after="32" w:line="240" w:lineRule="auto"/>
              <w:jc w:val="right"/>
            </w:pPr>
            <w:r>
              <w:rPr>
                <w:b w:val="0"/>
                <w:color w:val="0B0B0B"/>
                <w:sz w:val="14"/>
              </w:rPr>
              <w:t>Operating since 2010–11</w:t>
            </w:r>
          </w:p>
        </w:tc>
      </w:tr>
      <w:tr>
        <w:tc>
          <w:tcPr>
            <w:tcW w:type="dxa" w:w="1408"/>
            <w:shd w:val="clear" w:color="auto" w:fill="EEF3FA"/>
          </w:tcPr>
          <w:p>
            <w:pPr>
              <w:spacing w:before="32" w:after="32" w:line="240" w:lineRule="auto"/>
              <w:jc w:val="left"/>
            </w:pPr>
            <w:r>
              <w:rPr>
                <w:b w:val="0"/>
                <w:color w:val="0B0B0B"/>
                <w:sz w:val="14"/>
              </w:rPr>
              <w:t>Vijayanagar</w:t>
            </w:r>
          </w:p>
        </w:tc>
        <w:tc>
          <w:tcPr>
            <w:tcW w:type="dxa" w:w="1408"/>
            <w:shd w:val="clear" w:color="auto" w:fill="EEF3FA"/>
          </w:tcPr>
          <w:p>
            <w:pPr>
              <w:spacing w:before="32" w:after="32" w:line="240" w:lineRule="auto"/>
              <w:jc w:val="right"/>
            </w:pPr>
            <w:r>
              <w:rPr>
                <w:b w:val="0"/>
                <w:color w:val="0B0B0B"/>
                <w:sz w:val="14"/>
              </w:rPr>
              <w:t>Karnataka</w:t>
            </w:r>
          </w:p>
        </w:tc>
        <w:tc>
          <w:tcPr>
            <w:tcW w:type="dxa" w:w="645"/>
            <w:shd w:val="clear" w:color="auto" w:fill="EEF3FA"/>
          </w:tcPr>
          <w:p>
            <w:pPr>
              <w:spacing w:before="32" w:after="32" w:line="240" w:lineRule="auto"/>
              <w:jc w:val="right"/>
            </w:pPr>
            <w:r>
              <w:rPr>
                <w:b w:val="0"/>
                <w:color w:val="0B0B0B"/>
                <w:sz w:val="14"/>
              </w:rPr>
              <w:t>860</w:t>
            </w:r>
          </w:p>
        </w:tc>
        <w:tc>
          <w:tcPr>
            <w:tcW w:type="dxa" w:w="762"/>
            <w:shd w:val="clear" w:color="auto" w:fill="EEF3FA"/>
          </w:tcPr>
          <w:p>
            <w:pPr>
              <w:spacing w:before="32" w:after="32" w:line="240" w:lineRule="auto"/>
              <w:jc w:val="right"/>
            </w:pPr>
            <w:r>
              <w:rPr>
                <w:b w:val="0"/>
                <w:color w:val="0B0B0B"/>
                <w:sz w:val="14"/>
              </w:rPr>
              <w:t>75%</w:t>
            </w:r>
          </w:p>
        </w:tc>
        <w:tc>
          <w:tcPr>
            <w:tcW w:type="dxa" w:w="762"/>
            <w:shd w:val="clear" w:color="auto" w:fill="EEF3FA"/>
          </w:tcPr>
          <w:p>
            <w:pPr>
              <w:spacing w:before="32" w:after="32" w:line="240" w:lineRule="auto"/>
              <w:jc w:val="right"/>
            </w:pPr>
            <w:r>
              <w:rPr>
                <w:b w:val="0"/>
                <w:color w:val="0B0B0B"/>
                <w:sz w:val="14"/>
              </w:rPr>
              <w:t>71%</w:t>
            </w:r>
          </w:p>
        </w:tc>
        <w:tc>
          <w:tcPr>
            <w:tcW w:type="dxa" w:w="1759"/>
            <w:shd w:val="clear" w:color="auto" w:fill="EEF3FA"/>
          </w:tcPr>
          <w:p>
            <w:pPr>
              <w:spacing w:before="32" w:after="32" w:line="240" w:lineRule="auto"/>
              <w:jc w:val="right"/>
            </w:pPr>
            <w:r>
              <w:rPr>
                <w:b w:val="0"/>
                <w:color w:val="0B0B0B"/>
                <w:sz w:val="14"/>
              </w:rPr>
              <w:t>Imported coal, gas</w:t>
            </w:r>
          </w:p>
        </w:tc>
        <w:tc>
          <w:tcPr>
            <w:tcW w:type="dxa" w:w="3460"/>
            <w:shd w:val="clear" w:color="auto" w:fill="EEF3FA"/>
          </w:tcPr>
          <w:p>
            <w:pPr>
              <w:spacing w:before="32" w:after="32" w:line="240" w:lineRule="auto"/>
              <w:jc w:val="right"/>
            </w:pPr>
            <w:r>
              <w:rPr>
                <w:b w:val="0"/>
                <w:color w:val="0B0B0B"/>
                <w:sz w:val="14"/>
              </w:rPr>
              <w:t>Operating since 2000/2009</w:t>
            </w:r>
          </w:p>
        </w:tc>
      </w:tr>
      <w:tr>
        <w:tc>
          <w:tcPr>
            <w:tcW w:type="dxa" w:w="1408"/>
          </w:tcPr>
          <w:p>
            <w:pPr>
              <w:spacing w:before="32" w:after="32" w:line="240" w:lineRule="auto"/>
              <w:jc w:val="left"/>
            </w:pPr>
            <w:r>
              <w:rPr>
                <w:b w:val="0"/>
                <w:color w:val="0B0B0B"/>
                <w:sz w:val="14"/>
              </w:rPr>
              <w:t>Nandyal</w:t>
            </w:r>
          </w:p>
        </w:tc>
        <w:tc>
          <w:tcPr>
            <w:tcW w:type="dxa" w:w="1408"/>
          </w:tcPr>
          <w:p>
            <w:pPr>
              <w:spacing w:before="32" w:after="32" w:line="240" w:lineRule="auto"/>
              <w:jc w:val="right"/>
            </w:pPr>
            <w:r>
              <w:rPr>
                <w:b w:val="0"/>
                <w:color w:val="0B0B0B"/>
                <w:sz w:val="14"/>
              </w:rPr>
              <w:t>Andhra Pradesh</w:t>
            </w:r>
          </w:p>
        </w:tc>
        <w:tc>
          <w:tcPr>
            <w:tcW w:type="dxa" w:w="645"/>
          </w:tcPr>
          <w:p>
            <w:pPr>
              <w:spacing w:before="32" w:after="32" w:line="240" w:lineRule="auto"/>
              <w:jc w:val="right"/>
            </w:pPr>
            <w:r>
              <w:rPr>
                <w:b w:val="0"/>
                <w:color w:val="0B0B0B"/>
                <w:sz w:val="14"/>
              </w:rPr>
              <w:t>18</w:t>
            </w:r>
          </w:p>
        </w:tc>
        <w:tc>
          <w:tcPr>
            <w:tcW w:type="dxa" w:w="762"/>
          </w:tcPr>
          <w:p>
            <w:pPr>
              <w:spacing w:before="32" w:after="32" w:line="240" w:lineRule="auto"/>
              <w:jc w:val="right"/>
            </w:pPr>
            <w:r>
              <w:rPr>
                <w:b w:val="0"/>
                <w:color w:val="0B0B0B"/>
                <w:sz w:val="14"/>
              </w:rPr>
              <w:t>68%</w:t>
            </w:r>
          </w:p>
        </w:tc>
        <w:tc>
          <w:tcPr>
            <w:tcW w:type="dxa" w:w="762"/>
          </w:tcPr>
          <w:p>
            <w:pPr>
              <w:spacing w:before="32" w:after="32" w:line="240" w:lineRule="auto"/>
              <w:jc w:val="right"/>
            </w:pPr>
            <w:r>
              <w:rPr>
                <w:b w:val="0"/>
                <w:color w:val="0B0B0B"/>
                <w:sz w:val="14"/>
              </w:rPr>
              <w:t>90%</w:t>
            </w:r>
          </w:p>
        </w:tc>
        <w:tc>
          <w:tcPr>
            <w:tcW w:type="dxa" w:w="1759"/>
          </w:tcPr>
          <w:p>
            <w:pPr>
              <w:spacing w:before="32" w:after="32" w:line="240" w:lineRule="auto"/>
              <w:jc w:val="right"/>
            </w:pPr>
            <w:r>
              <w:rPr>
                <w:b w:val="0"/>
                <w:color w:val="0B0B0B"/>
                <w:sz w:val="14"/>
              </w:rPr>
              <w:t>Coal</w:t>
            </w:r>
          </w:p>
        </w:tc>
        <w:tc>
          <w:tcPr>
            <w:tcW w:type="dxa" w:w="3460"/>
          </w:tcPr>
          <w:p>
            <w:pPr>
              <w:spacing w:before="32" w:after="32" w:line="240" w:lineRule="auto"/>
              <w:jc w:val="right"/>
            </w:pPr>
            <w:r>
              <w:rPr>
                <w:b w:val="0"/>
                <w:color w:val="0B0B0B"/>
                <w:sz w:val="14"/>
              </w:rPr>
              <w:t>Operating since 2019, group captive</w:t>
            </w:r>
          </w:p>
        </w:tc>
      </w:tr>
      <w:tr>
        <w:tc>
          <w:tcPr>
            <w:tcW w:type="dxa" w:w="1408"/>
            <w:shd w:val="clear" w:color="auto" w:fill="EEF3FA"/>
          </w:tcPr>
          <w:p>
            <w:pPr>
              <w:spacing w:before="32" w:after="32" w:line="240" w:lineRule="auto"/>
              <w:jc w:val="left"/>
            </w:pPr>
            <w:r>
              <w:rPr>
                <w:b w:val="0"/>
                <w:color w:val="0B0B0B"/>
                <w:sz w:val="14"/>
              </w:rPr>
              <w:t>Barmer</w:t>
            </w:r>
          </w:p>
        </w:tc>
        <w:tc>
          <w:tcPr>
            <w:tcW w:type="dxa" w:w="1408"/>
            <w:shd w:val="clear" w:color="auto" w:fill="EEF3FA"/>
          </w:tcPr>
          <w:p>
            <w:pPr>
              <w:spacing w:before="32" w:after="32" w:line="240" w:lineRule="auto"/>
              <w:jc w:val="right"/>
            </w:pPr>
            <w:r>
              <w:rPr>
                <w:b w:val="0"/>
                <w:color w:val="0B0B0B"/>
                <w:sz w:val="14"/>
              </w:rPr>
              <w:t>Rajasthan</w:t>
            </w:r>
          </w:p>
        </w:tc>
        <w:tc>
          <w:tcPr>
            <w:tcW w:type="dxa" w:w="645"/>
            <w:shd w:val="clear" w:color="auto" w:fill="EEF3FA"/>
          </w:tcPr>
          <w:p>
            <w:pPr>
              <w:spacing w:before="32" w:after="32" w:line="240" w:lineRule="auto"/>
              <w:jc w:val="right"/>
            </w:pPr>
            <w:r>
              <w:rPr>
                <w:b w:val="0"/>
                <w:color w:val="0B0B0B"/>
                <w:sz w:val="14"/>
              </w:rPr>
              <w:t>1,080</w:t>
            </w:r>
          </w:p>
        </w:tc>
        <w:tc>
          <w:tcPr>
            <w:tcW w:type="dxa" w:w="762"/>
            <w:shd w:val="clear" w:color="auto" w:fill="EEF3FA"/>
          </w:tcPr>
          <w:p>
            <w:pPr>
              <w:spacing w:before="32" w:after="32" w:line="240" w:lineRule="auto"/>
              <w:jc w:val="right"/>
            </w:pPr>
            <w:r>
              <w:rPr>
                <w:b w:val="0"/>
                <w:color w:val="0B0B0B"/>
                <w:sz w:val="14"/>
              </w:rPr>
              <w:t>67%</w:t>
            </w:r>
          </w:p>
        </w:tc>
        <w:tc>
          <w:tcPr>
            <w:tcW w:type="dxa" w:w="762"/>
            <w:shd w:val="clear" w:color="auto" w:fill="EEF3FA"/>
          </w:tcPr>
          <w:p>
            <w:pPr>
              <w:spacing w:before="32" w:after="32" w:line="240" w:lineRule="auto"/>
              <w:jc w:val="right"/>
            </w:pPr>
            <w:r>
              <w:rPr>
                <w:b w:val="0"/>
                <w:color w:val="0B0B0B"/>
                <w:sz w:val="14"/>
              </w:rPr>
              <w:t>70%</w:t>
            </w:r>
          </w:p>
        </w:tc>
        <w:tc>
          <w:tcPr>
            <w:tcW w:type="dxa" w:w="1759"/>
            <w:shd w:val="clear" w:color="auto" w:fill="EEF3FA"/>
          </w:tcPr>
          <w:p>
            <w:pPr>
              <w:spacing w:before="32" w:after="32" w:line="240" w:lineRule="auto"/>
              <w:jc w:val="right"/>
            </w:pPr>
            <w:r>
              <w:rPr>
                <w:b w:val="0"/>
                <w:color w:val="0B0B0B"/>
                <w:sz w:val="14"/>
              </w:rPr>
              <w:t>Captive lignite (BLMCL)</w:t>
            </w:r>
          </w:p>
        </w:tc>
        <w:tc>
          <w:tcPr>
            <w:tcW w:type="dxa" w:w="3460"/>
            <w:shd w:val="clear" w:color="auto" w:fill="EEF3FA"/>
          </w:tcPr>
          <w:p>
            <w:pPr>
              <w:spacing w:before="32" w:after="32" w:line="240" w:lineRule="auto"/>
              <w:jc w:val="right"/>
            </w:pPr>
            <w:r>
              <w:rPr>
                <w:b w:val="0"/>
                <w:color w:val="0B0B0B"/>
                <w:sz w:val="14"/>
              </w:rPr>
              <w:t>Operating since 2009–13</w:t>
            </w:r>
          </w:p>
        </w:tc>
      </w:tr>
      <w:tr>
        <w:tc>
          <w:tcPr>
            <w:tcW w:type="dxa" w:w="1408"/>
          </w:tcPr>
          <w:p>
            <w:pPr>
              <w:spacing w:before="32" w:after="32" w:line="240" w:lineRule="auto"/>
              <w:jc w:val="left"/>
            </w:pPr>
            <w:r>
              <w:rPr>
                <w:b w:val="0"/>
                <w:color w:val="0B0B0B"/>
                <w:sz w:val="14"/>
              </w:rPr>
              <w:t>Ind-Barath (Utkal)</w:t>
            </w:r>
          </w:p>
        </w:tc>
        <w:tc>
          <w:tcPr>
            <w:tcW w:type="dxa" w:w="1408"/>
          </w:tcPr>
          <w:p>
            <w:pPr>
              <w:spacing w:before="32" w:after="32" w:line="240" w:lineRule="auto"/>
              <w:jc w:val="right"/>
            </w:pPr>
            <w:r>
              <w:rPr>
                <w:b w:val="0"/>
                <w:color w:val="0B0B0B"/>
                <w:sz w:val="14"/>
              </w:rPr>
              <w:t>Odisha</w:t>
            </w:r>
          </w:p>
        </w:tc>
        <w:tc>
          <w:tcPr>
            <w:tcW w:type="dxa" w:w="645"/>
          </w:tcPr>
          <w:p>
            <w:pPr>
              <w:spacing w:before="32" w:after="32" w:line="240" w:lineRule="auto"/>
              <w:jc w:val="right"/>
            </w:pPr>
            <w:r>
              <w:rPr>
                <w:b w:val="0"/>
                <w:color w:val="0B0B0B"/>
                <w:sz w:val="14"/>
              </w:rPr>
              <w:t>700</w:t>
            </w:r>
          </w:p>
        </w:tc>
        <w:tc>
          <w:tcPr>
            <w:tcW w:type="dxa" w:w="762"/>
          </w:tcPr>
          <w:p>
            <w:pPr>
              <w:spacing w:before="32" w:after="32" w:line="240" w:lineRule="auto"/>
              <w:jc w:val="right"/>
            </w:pPr>
            <w:r>
              <w:rPr>
                <w:b w:val="0"/>
                <w:color w:val="0B0B0B"/>
                <w:sz w:val="14"/>
              </w:rPr>
              <w:t>67%</w:t>
            </w:r>
          </w:p>
        </w:tc>
        <w:tc>
          <w:tcPr>
            <w:tcW w:type="dxa" w:w="762"/>
          </w:tcPr>
          <w:p>
            <w:pPr>
              <w:spacing w:before="32" w:after="32" w:line="240" w:lineRule="auto"/>
              <w:jc w:val="right"/>
            </w:pPr>
            <w:r>
              <w:rPr>
                <w:b w:val="0"/>
                <w:color w:val="0B0B0B"/>
                <w:sz w:val="14"/>
              </w:rPr>
              <w:t>60%</w:t>
            </w:r>
          </w:p>
        </w:tc>
        <w:tc>
          <w:tcPr>
            <w:tcW w:type="dxa" w:w="1759"/>
          </w:tcPr>
          <w:p>
            <w:pPr>
              <w:spacing w:before="32" w:after="32" w:line="240" w:lineRule="auto"/>
              <w:jc w:val="right"/>
            </w:pPr>
            <w:r>
              <w:rPr>
                <w:b w:val="0"/>
                <w:color w:val="0B0B0B"/>
                <w:sz w:val="14"/>
              </w:rPr>
              <w:t>Shakti e-auction coal</w:t>
            </w:r>
          </w:p>
        </w:tc>
        <w:tc>
          <w:tcPr>
            <w:tcW w:type="dxa" w:w="3460"/>
          </w:tcPr>
          <w:p>
            <w:pPr>
              <w:spacing w:before="32" w:after="32" w:line="240" w:lineRule="auto"/>
              <w:jc w:val="right"/>
            </w:pPr>
            <w:r>
              <w:rPr>
                <w:b w:val="0"/>
                <w:color w:val="0B0B0B"/>
                <w:sz w:val="14"/>
              </w:rPr>
              <w:t>Both units operational; 400MW now on a 25-yr PPA at Rs.5.78/unit plus 115MW to Assam from 1 Apr 2026</w:t>
            </w:r>
          </w:p>
        </w:tc>
      </w:tr>
      <w:tr>
        <w:tc>
          <w:tcPr>
            <w:tcW w:type="dxa" w:w="1408"/>
            <w:shd w:val="clear" w:color="auto" w:fill="EEF3FA"/>
          </w:tcPr>
          <w:p>
            <w:pPr>
              <w:spacing w:before="32" w:after="32" w:line="240" w:lineRule="auto"/>
              <w:jc w:val="left"/>
            </w:pPr>
            <w:r>
              <w:rPr>
                <w:b w:val="0"/>
                <w:color w:val="0B0B0B"/>
                <w:sz w:val="14"/>
              </w:rPr>
              <w:t>KSK Mahanadi</w:t>
            </w:r>
          </w:p>
        </w:tc>
        <w:tc>
          <w:tcPr>
            <w:tcW w:type="dxa" w:w="1408"/>
            <w:shd w:val="clear" w:color="auto" w:fill="EEF3FA"/>
          </w:tcPr>
          <w:p>
            <w:pPr>
              <w:spacing w:before="32" w:after="32" w:line="240" w:lineRule="auto"/>
              <w:jc w:val="right"/>
            </w:pPr>
            <w:r>
              <w:rPr>
                <w:b w:val="0"/>
                <w:color w:val="0B0B0B"/>
                <w:sz w:val="14"/>
              </w:rPr>
              <w:t>Chhattisgarh</w:t>
            </w:r>
          </w:p>
        </w:tc>
        <w:tc>
          <w:tcPr>
            <w:tcW w:type="dxa" w:w="645"/>
            <w:shd w:val="clear" w:color="auto" w:fill="EEF3FA"/>
          </w:tcPr>
          <w:p>
            <w:pPr>
              <w:spacing w:before="32" w:after="32" w:line="240" w:lineRule="auto"/>
              <w:jc w:val="right"/>
            </w:pPr>
            <w:r>
              <w:rPr>
                <w:b w:val="0"/>
                <w:color w:val="0B0B0B"/>
                <w:sz w:val="14"/>
              </w:rPr>
              <w:t>1,800</w:t>
            </w:r>
          </w:p>
        </w:tc>
        <w:tc>
          <w:tcPr>
            <w:tcW w:type="dxa" w:w="762"/>
            <w:shd w:val="clear" w:color="auto" w:fill="EEF3FA"/>
          </w:tcPr>
          <w:p>
            <w:pPr>
              <w:spacing w:before="32" w:after="32" w:line="240" w:lineRule="auto"/>
              <w:jc w:val="right"/>
            </w:pPr>
            <w:r>
              <w:rPr>
                <w:b w:val="0"/>
                <w:color w:val="0B0B0B"/>
                <w:sz w:val="14"/>
              </w:rPr>
              <w:t>78%</w:t>
            </w:r>
          </w:p>
        </w:tc>
        <w:tc>
          <w:tcPr>
            <w:tcW w:type="dxa" w:w="762"/>
            <w:shd w:val="clear" w:color="auto" w:fill="EEF3FA"/>
          </w:tcPr>
          <w:p>
            <w:pPr>
              <w:spacing w:before="32" w:after="32" w:line="240" w:lineRule="auto"/>
              <w:jc w:val="right"/>
            </w:pPr>
            <w:r>
              <w:rPr>
                <w:b w:val="0"/>
                <w:color w:val="0B0B0B"/>
                <w:sz w:val="14"/>
              </w:rPr>
              <w:t>75%</w:t>
            </w:r>
          </w:p>
        </w:tc>
        <w:tc>
          <w:tcPr>
            <w:tcW w:type="dxa" w:w="1759"/>
            <w:shd w:val="clear" w:color="auto" w:fill="EEF3FA"/>
          </w:tcPr>
          <w:p>
            <w:pPr>
              <w:spacing w:before="32" w:after="32" w:line="240" w:lineRule="auto"/>
              <w:jc w:val="right"/>
            </w:pPr>
            <w:r>
              <w:rPr>
                <w:b w:val="0"/>
                <w:color w:val="0B0B0B"/>
                <w:sz w:val="14"/>
              </w:rPr>
              <w:t>FSA with Coal India</w:t>
            </w:r>
          </w:p>
        </w:tc>
        <w:tc>
          <w:tcPr>
            <w:tcW w:type="dxa" w:w="3460"/>
            <w:shd w:val="clear" w:color="auto" w:fill="EEF3FA"/>
          </w:tcPr>
          <w:p>
            <w:pPr>
              <w:spacing w:before="32" w:after="32" w:line="240" w:lineRule="auto"/>
              <w:jc w:val="right"/>
            </w:pPr>
            <w:r>
              <w:rPr>
                <w:b w:val="0"/>
                <w:color w:val="0B0B0B"/>
                <w:sz w:val="14"/>
              </w:rPr>
              <w:t>Q4FY26 PLF 93%, a top-10 plant nationally. First 600MW of the expansion guided for mid-FY27; not in the model</w:t>
            </w:r>
          </w:p>
        </w:tc>
      </w:tr>
      <w:tr>
        <w:tc>
          <w:tcPr>
            <w:tcW w:type="dxa" w:w="1408"/>
          </w:tcPr>
          <w:p>
            <w:pPr>
              <w:spacing w:before="32" w:after="32" w:line="240" w:lineRule="auto"/>
              <w:jc w:val="left"/>
            </w:pPr>
            <w:r>
              <w:rPr>
                <w:b w:val="0"/>
                <w:color w:val="0B0B0B"/>
                <w:sz w:val="14"/>
              </w:rPr>
              <w:t>Karcham Wangtoo</w:t>
            </w:r>
          </w:p>
        </w:tc>
        <w:tc>
          <w:tcPr>
            <w:tcW w:type="dxa" w:w="1408"/>
          </w:tcPr>
          <w:p>
            <w:pPr>
              <w:spacing w:before="32" w:after="32" w:line="240" w:lineRule="auto"/>
              <w:jc w:val="right"/>
            </w:pPr>
            <w:r>
              <w:rPr>
                <w:b w:val="0"/>
                <w:color w:val="0B0B0B"/>
                <w:sz w:val="14"/>
              </w:rPr>
              <w:t>Himachal Pradesh</w:t>
            </w:r>
          </w:p>
        </w:tc>
        <w:tc>
          <w:tcPr>
            <w:tcW w:type="dxa" w:w="645"/>
          </w:tcPr>
          <w:p>
            <w:pPr>
              <w:spacing w:before="32" w:after="32" w:line="240" w:lineRule="auto"/>
              <w:jc w:val="right"/>
            </w:pPr>
            <w:r>
              <w:rPr>
                <w:b w:val="0"/>
                <w:color w:val="0B0B0B"/>
                <w:sz w:val="14"/>
              </w:rPr>
              <w:t>1,091</w:t>
            </w:r>
          </w:p>
        </w:tc>
        <w:tc>
          <w:tcPr>
            <w:tcW w:type="dxa" w:w="762"/>
          </w:tcPr>
          <w:p>
            <w:pPr>
              <w:spacing w:before="32" w:after="32" w:line="240" w:lineRule="auto"/>
              <w:jc w:val="right"/>
            </w:pPr>
            <w:r>
              <w:rPr>
                <w:b w:val="0"/>
                <w:color w:val="0B0B0B"/>
                <w:sz w:val="14"/>
              </w:rPr>
              <w:t>48%</w:t>
            </w:r>
          </w:p>
        </w:tc>
        <w:tc>
          <w:tcPr>
            <w:tcW w:type="dxa" w:w="762"/>
          </w:tcPr>
          <w:p>
            <w:pPr>
              <w:spacing w:before="32" w:after="32" w:line="240" w:lineRule="auto"/>
              <w:jc w:val="right"/>
            </w:pPr>
            <w:r>
              <w:rPr>
                <w:b w:val="0"/>
                <w:color w:val="0B0B0B"/>
                <w:sz w:val="14"/>
              </w:rPr>
              <w:t>50%</w:t>
            </w:r>
          </w:p>
        </w:tc>
        <w:tc>
          <w:tcPr>
            <w:tcW w:type="dxa" w:w="1759"/>
          </w:tcPr>
          <w:p>
            <w:pPr>
              <w:spacing w:before="32" w:after="32" w:line="240" w:lineRule="auto"/>
              <w:jc w:val="right"/>
            </w:pPr>
            <w:r>
              <w:rPr>
                <w:b w:val="0"/>
                <w:color w:val="0B0B0B"/>
                <w:sz w:val="14"/>
              </w:rPr>
              <w:t>Hydro</w:t>
            </w:r>
          </w:p>
        </w:tc>
        <w:tc>
          <w:tcPr>
            <w:tcW w:type="dxa" w:w="3460"/>
          </w:tcPr>
          <w:p>
            <w:pPr>
              <w:spacing w:before="32" w:after="32" w:line="240" w:lineRule="auto"/>
              <w:jc w:val="right"/>
            </w:pPr>
            <w:r>
              <w:rPr>
                <w:b w:val="0"/>
                <w:color w:val="0B0B0B"/>
                <w:sz w:val="14"/>
              </w:rPr>
              <w:t>Operating since 2011</w:t>
            </w:r>
          </w:p>
        </w:tc>
      </w:tr>
      <w:tr>
        <w:tc>
          <w:tcPr>
            <w:tcW w:type="dxa" w:w="1408"/>
            <w:shd w:val="clear" w:color="auto" w:fill="EEF3FA"/>
          </w:tcPr>
          <w:p>
            <w:pPr>
              <w:spacing w:before="32" w:after="32" w:line="240" w:lineRule="auto"/>
              <w:jc w:val="left"/>
            </w:pPr>
            <w:r>
              <w:rPr>
                <w:b w:val="0"/>
                <w:color w:val="0B0B0B"/>
                <w:sz w:val="14"/>
              </w:rPr>
              <w:t>Baspa II</w:t>
            </w:r>
          </w:p>
        </w:tc>
        <w:tc>
          <w:tcPr>
            <w:tcW w:type="dxa" w:w="1408"/>
            <w:shd w:val="clear" w:color="auto" w:fill="EEF3FA"/>
          </w:tcPr>
          <w:p>
            <w:pPr>
              <w:spacing w:before="32" w:after="32" w:line="240" w:lineRule="auto"/>
              <w:jc w:val="right"/>
            </w:pPr>
            <w:r>
              <w:rPr>
                <w:b w:val="0"/>
                <w:color w:val="0B0B0B"/>
                <w:sz w:val="14"/>
              </w:rPr>
              <w:t>Himachal Pradesh</w:t>
            </w:r>
          </w:p>
        </w:tc>
        <w:tc>
          <w:tcPr>
            <w:tcW w:type="dxa" w:w="645"/>
            <w:shd w:val="clear" w:color="auto" w:fill="EEF3FA"/>
          </w:tcPr>
          <w:p>
            <w:pPr>
              <w:spacing w:before="32" w:after="32" w:line="240" w:lineRule="auto"/>
              <w:jc w:val="right"/>
            </w:pPr>
            <w:r>
              <w:rPr>
                <w:b w:val="0"/>
                <w:color w:val="0B0B0B"/>
                <w:sz w:val="14"/>
              </w:rPr>
              <w:t>300</w:t>
            </w:r>
          </w:p>
        </w:tc>
        <w:tc>
          <w:tcPr>
            <w:tcW w:type="dxa" w:w="762"/>
            <w:shd w:val="clear" w:color="auto" w:fill="EEF3FA"/>
          </w:tcPr>
          <w:p>
            <w:pPr>
              <w:spacing w:before="32" w:after="32" w:line="240" w:lineRule="auto"/>
              <w:jc w:val="right"/>
            </w:pPr>
            <w:r>
              <w:rPr>
                <w:b w:val="0"/>
                <w:color w:val="0B0B0B"/>
                <w:sz w:val="14"/>
              </w:rPr>
              <w:t>48%</w:t>
            </w:r>
          </w:p>
        </w:tc>
        <w:tc>
          <w:tcPr>
            <w:tcW w:type="dxa" w:w="762"/>
            <w:shd w:val="clear" w:color="auto" w:fill="EEF3FA"/>
          </w:tcPr>
          <w:p>
            <w:pPr>
              <w:spacing w:before="32" w:after="32" w:line="240" w:lineRule="auto"/>
              <w:jc w:val="right"/>
            </w:pPr>
            <w:r>
              <w:rPr>
                <w:b w:val="0"/>
                <w:color w:val="0B0B0B"/>
                <w:sz w:val="14"/>
              </w:rPr>
              <w:t>50%</w:t>
            </w:r>
          </w:p>
        </w:tc>
        <w:tc>
          <w:tcPr>
            <w:tcW w:type="dxa" w:w="1759"/>
            <w:shd w:val="clear" w:color="auto" w:fill="EEF3FA"/>
          </w:tcPr>
          <w:p>
            <w:pPr>
              <w:spacing w:before="32" w:after="32" w:line="240" w:lineRule="auto"/>
              <w:jc w:val="right"/>
            </w:pPr>
            <w:r>
              <w:rPr>
                <w:b w:val="0"/>
                <w:color w:val="0B0B0B"/>
                <w:sz w:val="14"/>
              </w:rPr>
              <w:t>Hydro</w:t>
            </w:r>
          </w:p>
        </w:tc>
        <w:tc>
          <w:tcPr>
            <w:tcW w:type="dxa" w:w="3460"/>
            <w:shd w:val="clear" w:color="auto" w:fill="EEF3FA"/>
          </w:tcPr>
          <w:p>
            <w:pPr>
              <w:spacing w:before="32" w:after="32" w:line="240" w:lineRule="auto"/>
              <w:jc w:val="right"/>
            </w:pPr>
            <w:r>
              <w:rPr>
                <w:b w:val="0"/>
                <w:color w:val="0B0B0B"/>
                <w:sz w:val="14"/>
              </w:rPr>
              <w:t>Operating since 2006</w:t>
            </w:r>
          </w:p>
        </w:tc>
      </w:tr>
      <w:tr>
        <w:tc>
          <w:tcPr>
            <w:tcW w:type="dxa" w:w="1408"/>
          </w:tcPr>
          <w:p>
            <w:pPr>
              <w:spacing w:before="32" w:after="32" w:line="240" w:lineRule="auto"/>
              <w:jc w:val="left"/>
            </w:pPr>
            <w:r>
              <w:rPr>
                <w:b w:val="0"/>
                <w:color w:val="0B0B0B"/>
                <w:sz w:val="14"/>
              </w:rPr>
              <w:t>Kutehr</w:t>
            </w:r>
          </w:p>
        </w:tc>
        <w:tc>
          <w:tcPr>
            <w:tcW w:type="dxa" w:w="1408"/>
          </w:tcPr>
          <w:p>
            <w:pPr>
              <w:spacing w:before="32" w:after="32" w:line="240" w:lineRule="auto"/>
              <w:jc w:val="right"/>
            </w:pPr>
            <w:r>
              <w:rPr>
                <w:b w:val="0"/>
                <w:color w:val="0B0B0B"/>
                <w:sz w:val="14"/>
              </w:rPr>
              <w:t>Himachal Pradesh</w:t>
            </w:r>
          </w:p>
        </w:tc>
        <w:tc>
          <w:tcPr>
            <w:tcW w:type="dxa" w:w="645"/>
          </w:tcPr>
          <w:p>
            <w:pPr>
              <w:spacing w:before="32" w:after="32" w:line="240" w:lineRule="auto"/>
              <w:jc w:val="right"/>
            </w:pPr>
            <w:r>
              <w:rPr>
                <w:b w:val="0"/>
                <w:color w:val="0B0B0B"/>
                <w:sz w:val="14"/>
              </w:rPr>
              <w:t>240</w:t>
            </w:r>
          </w:p>
        </w:tc>
        <w:tc>
          <w:tcPr>
            <w:tcW w:type="dxa" w:w="762"/>
          </w:tcPr>
          <w:p>
            <w:pPr>
              <w:spacing w:before="32" w:after="32" w:line="240" w:lineRule="auto"/>
              <w:jc w:val="right"/>
            </w:pPr>
            <w:r>
              <w:rPr>
                <w:b w:val="0"/>
                <w:color w:val="0B0B0B"/>
                <w:sz w:val="14"/>
              </w:rPr>
              <w:t>48%</w:t>
            </w:r>
          </w:p>
        </w:tc>
        <w:tc>
          <w:tcPr>
            <w:tcW w:type="dxa" w:w="762"/>
          </w:tcPr>
          <w:p>
            <w:pPr>
              <w:spacing w:before="32" w:after="32" w:line="240" w:lineRule="auto"/>
              <w:jc w:val="right"/>
            </w:pPr>
            <w:r>
              <w:rPr>
                <w:b w:val="0"/>
                <w:color w:val="0B0B0B"/>
                <w:sz w:val="14"/>
              </w:rPr>
              <w:t>50%</w:t>
            </w:r>
          </w:p>
        </w:tc>
        <w:tc>
          <w:tcPr>
            <w:tcW w:type="dxa" w:w="1759"/>
          </w:tcPr>
          <w:p>
            <w:pPr>
              <w:spacing w:before="32" w:after="32" w:line="240" w:lineRule="auto"/>
              <w:jc w:val="right"/>
            </w:pPr>
            <w:r>
              <w:rPr>
                <w:b w:val="0"/>
                <w:color w:val="0B0B0B"/>
                <w:sz w:val="14"/>
              </w:rPr>
              <w:t>Hydro</w:t>
            </w:r>
          </w:p>
        </w:tc>
        <w:tc>
          <w:tcPr>
            <w:tcW w:type="dxa" w:w="3460"/>
          </w:tcPr>
          <w:p>
            <w:pPr>
              <w:spacing w:before="32" w:after="32" w:line="240" w:lineRule="auto"/>
              <w:jc w:val="right"/>
            </w:pPr>
            <w:r>
              <w:rPr>
                <w:b w:val="0"/>
                <w:color w:val="0B0B0B"/>
                <w:sz w:val="14"/>
              </w:rPr>
              <w:t>CoD Q2FY26 against an original target of Sep 2024; management calls it one of the fastest builds of its scale</w:t>
            </w:r>
          </w:p>
        </w:tc>
      </w:tr>
      <w:tr>
        <w:tc>
          <w:tcPr>
            <w:tcW w:type="dxa" w:w="1408"/>
            <w:shd w:val="clear" w:color="auto" w:fill="EEF3FA"/>
          </w:tcPr>
          <w:p>
            <w:pPr>
              <w:spacing w:before="32" w:after="32" w:line="240" w:lineRule="auto"/>
              <w:jc w:val="left"/>
            </w:pPr>
            <w:r>
              <w:rPr>
                <w:b w:val="0"/>
                <w:color w:val="0B0B0B"/>
                <w:sz w:val="14"/>
              </w:rPr>
              <w:t>Tidong</w:t>
            </w:r>
          </w:p>
        </w:tc>
        <w:tc>
          <w:tcPr>
            <w:tcW w:type="dxa" w:w="1408"/>
            <w:shd w:val="clear" w:color="auto" w:fill="EEF3FA"/>
          </w:tcPr>
          <w:p>
            <w:pPr>
              <w:spacing w:before="32" w:after="32" w:line="240" w:lineRule="auto"/>
              <w:jc w:val="right"/>
            </w:pPr>
            <w:r>
              <w:rPr>
                <w:b w:val="0"/>
                <w:color w:val="0B0B0B"/>
                <w:sz w:val="14"/>
              </w:rPr>
              <w:t>Himachal Pradesh</w:t>
            </w:r>
          </w:p>
        </w:tc>
        <w:tc>
          <w:tcPr>
            <w:tcW w:type="dxa" w:w="645"/>
            <w:shd w:val="clear" w:color="auto" w:fill="EEF3FA"/>
          </w:tcPr>
          <w:p>
            <w:pPr>
              <w:spacing w:before="32" w:after="32" w:line="240" w:lineRule="auto"/>
              <w:jc w:val="right"/>
            </w:pPr>
            <w:r>
              <w:rPr>
                <w:b w:val="0"/>
                <w:color w:val="0B0B0B"/>
                <w:sz w:val="14"/>
              </w:rPr>
              <w:t>150</w:t>
            </w:r>
          </w:p>
        </w:tc>
        <w:tc>
          <w:tcPr>
            <w:tcW w:type="dxa" w:w="762"/>
            <w:shd w:val="clear" w:color="auto" w:fill="EEF3FA"/>
          </w:tcPr>
          <w:p>
            <w:pPr>
              <w:spacing w:before="32" w:after="32" w:line="240" w:lineRule="auto"/>
              <w:jc w:val="right"/>
            </w:pPr>
            <w:r>
              <w:rPr>
                <w:b w:val="0"/>
                <w:color w:val="0B0B0B"/>
                <w:sz w:val="14"/>
              </w:rPr>
              <w:t>—</w:t>
            </w:r>
          </w:p>
        </w:tc>
        <w:tc>
          <w:tcPr>
            <w:tcW w:type="dxa" w:w="762"/>
            <w:shd w:val="clear" w:color="auto" w:fill="EEF3FA"/>
          </w:tcPr>
          <w:p>
            <w:pPr>
              <w:spacing w:before="32" w:after="32" w:line="240" w:lineRule="auto"/>
              <w:jc w:val="right"/>
            </w:pPr>
            <w:r>
              <w:rPr>
                <w:b w:val="0"/>
                <w:color w:val="0B0B0B"/>
                <w:sz w:val="14"/>
              </w:rPr>
              <w:t>—</w:t>
            </w:r>
          </w:p>
        </w:tc>
        <w:tc>
          <w:tcPr>
            <w:tcW w:type="dxa" w:w="1759"/>
            <w:shd w:val="clear" w:color="auto" w:fill="EEF3FA"/>
          </w:tcPr>
          <w:p>
            <w:pPr>
              <w:spacing w:before="32" w:after="32" w:line="240" w:lineRule="auto"/>
              <w:jc w:val="right"/>
            </w:pPr>
            <w:r>
              <w:rPr>
                <w:b w:val="0"/>
                <w:color w:val="0B0B0B"/>
                <w:sz w:val="14"/>
              </w:rPr>
              <w:t>Hydro</w:t>
            </w:r>
          </w:p>
        </w:tc>
        <w:tc>
          <w:tcPr>
            <w:tcW w:type="dxa" w:w="3460"/>
            <w:shd w:val="clear" w:color="auto" w:fill="EEF3FA"/>
          </w:tcPr>
          <w:p>
            <w:pPr>
              <w:spacing w:before="32" w:after="32" w:line="240" w:lineRule="auto"/>
              <w:jc w:val="right"/>
            </w:pPr>
            <w:r>
              <w:rPr>
                <w:b w:val="0"/>
                <w:color w:val="0B0B0B"/>
                <w:sz w:val="14"/>
              </w:rPr>
              <w:t>Acquired from Statkraft; 50MW commissioned 8 May 2026, balance by Jun-26. Not in the model's capacity build</w:t>
            </w:r>
          </w:p>
        </w:tc>
      </w:tr>
      <w:tr>
        <w:tc>
          <w:tcPr>
            <w:tcW w:type="dxa" w:w="1408"/>
          </w:tcPr>
          <w:p>
            <w:pPr>
              <w:spacing w:before="32" w:after="32" w:line="240" w:lineRule="auto"/>
              <w:jc w:val="left"/>
            </w:pPr>
            <w:r>
              <w:rPr>
                <w:b w:val="0"/>
                <w:color w:val="0B0B0B"/>
                <w:sz w:val="14"/>
              </w:rPr>
              <w:t>Solar portfolio</w:t>
            </w:r>
          </w:p>
        </w:tc>
        <w:tc>
          <w:tcPr>
            <w:tcW w:type="dxa" w:w="1408"/>
          </w:tcPr>
          <w:p>
            <w:pPr>
              <w:spacing w:before="32" w:after="32" w:line="240" w:lineRule="auto"/>
              <w:jc w:val="right"/>
            </w:pPr>
            <w:r>
              <w:rPr>
                <w:b w:val="0"/>
                <w:color w:val="0B0B0B"/>
                <w:sz w:val="14"/>
              </w:rPr>
              <w:t>Multi-state</w:t>
            </w:r>
          </w:p>
        </w:tc>
        <w:tc>
          <w:tcPr>
            <w:tcW w:type="dxa" w:w="645"/>
          </w:tcPr>
          <w:p>
            <w:pPr>
              <w:spacing w:before="32" w:after="32" w:line="240" w:lineRule="auto"/>
              <w:jc w:val="right"/>
            </w:pPr>
            <w:r>
              <w:rPr>
                <w:b w:val="0"/>
                <w:color w:val="0B0B0B"/>
                <w:sz w:val="14"/>
              </w:rPr>
              <w:t>2,058</w:t>
            </w:r>
          </w:p>
        </w:tc>
        <w:tc>
          <w:tcPr>
            <w:tcW w:type="dxa" w:w="762"/>
          </w:tcPr>
          <w:p>
            <w:pPr>
              <w:spacing w:before="32" w:after="32" w:line="240" w:lineRule="auto"/>
              <w:jc w:val="right"/>
            </w:pPr>
            <w:r>
              <w:rPr>
                <w:b w:val="0"/>
                <w:color w:val="0B0B0B"/>
                <w:sz w:val="14"/>
              </w:rPr>
              <w:t>21%</w:t>
            </w:r>
          </w:p>
        </w:tc>
        <w:tc>
          <w:tcPr>
            <w:tcW w:type="dxa" w:w="762"/>
          </w:tcPr>
          <w:p>
            <w:pPr>
              <w:spacing w:before="32" w:after="32" w:line="240" w:lineRule="auto"/>
              <w:jc w:val="right"/>
            </w:pPr>
            <w:r>
              <w:rPr>
                <w:b w:val="0"/>
                <w:color w:val="0B0B0B"/>
                <w:sz w:val="14"/>
              </w:rPr>
              <w:t>25%</w:t>
            </w:r>
          </w:p>
        </w:tc>
        <w:tc>
          <w:tcPr>
            <w:tcW w:type="dxa" w:w="1759"/>
          </w:tcPr>
          <w:p>
            <w:pPr>
              <w:spacing w:before="32" w:after="32" w:line="240" w:lineRule="auto"/>
              <w:jc w:val="right"/>
            </w:pPr>
            <w:r>
              <w:rPr>
                <w:b w:val="0"/>
                <w:color w:val="0B0B0B"/>
                <w:sz w:val="14"/>
              </w:rPr>
              <w:t>Solar</w:t>
            </w:r>
          </w:p>
        </w:tc>
        <w:tc>
          <w:tcPr>
            <w:tcW w:type="dxa" w:w="3460"/>
          </w:tcPr>
          <w:p>
            <w:pPr>
              <w:spacing w:before="32" w:after="32" w:line="240" w:lineRule="auto"/>
              <w:jc w:val="right"/>
            </w:pPr>
            <w:r>
              <w:rPr>
                <w:b w:val="0"/>
                <w:color w:val="0B0B0B"/>
                <w:sz w:val="14"/>
              </w:rPr>
              <w:t>3,978MW by FY27E, 6,540MW by FY30E</w:t>
            </w:r>
          </w:p>
        </w:tc>
      </w:tr>
      <w:tr>
        <w:tc>
          <w:tcPr>
            <w:tcW w:type="dxa" w:w="1408"/>
            <w:shd w:val="clear" w:color="auto" w:fill="EEF3FA"/>
          </w:tcPr>
          <w:p>
            <w:pPr>
              <w:spacing w:before="32" w:after="32" w:line="240" w:lineRule="auto"/>
              <w:jc w:val="left"/>
            </w:pPr>
            <w:r>
              <w:rPr>
                <w:b w:val="0"/>
                <w:color w:val="0B0B0B"/>
                <w:sz w:val="14"/>
              </w:rPr>
              <w:t>Wind portfolio</w:t>
            </w:r>
          </w:p>
        </w:tc>
        <w:tc>
          <w:tcPr>
            <w:tcW w:type="dxa" w:w="1408"/>
            <w:shd w:val="clear" w:color="auto" w:fill="EEF3FA"/>
          </w:tcPr>
          <w:p>
            <w:pPr>
              <w:spacing w:before="32" w:after="32" w:line="240" w:lineRule="auto"/>
              <w:jc w:val="right"/>
            </w:pPr>
            <w:r>
              <w:rPr>
                <w:b w:val="0"/>
                <w:color w:val="0B0B0B"/>
                <w:sz w:val="14"/>
              </w:rPr>
              <w:t>Multi-state</w:t>
            </w:r>
          </w:p>
        </w:tc>
        <w:tc>
          <w:tcPr>
            <w:tcW w:type="dxa" w:w="645"/>
            <w:shd w:val="clear" w:color="auto" w:fill="EEF3FA"/>
          </w:tcPr>
          <w:p>
            <w:pPr>
              <w:spacing w:before="32" w:after="32" w:line="240" w:lineRule="auto"/>
              <w:jc w:val="right"/>
            </w:pPr>
            <w:r>
              <w:rPr>
                <w:b w:val="0"/>
                <w:color w:val="0B0B0B"/>
                <w:sz w:val="14"/>
              </w:rPr>
              <w:t>3,656</w:t>
            </w:r>
          </w:p>
        </w:tc>
        <w:tc>
          <w:tcPr>
            <w:tcW w:type="dxa" w:w="762"/>
            <w:shd w:val="clear" w:color="auto" w:fill="EEF3FA"/>
          </w:tcPr>
          <w:p>
            <w:pPr>
              <w:spacing w:before="32" w:after="32" w:line="240" w:lineRule="auto"/>
              <w:jc w:val="right"/>
            </w:pPr>
            <w:r>
              <w:rPr>
                <w:b w:val="0"/>
                <w:color w:val="0B0B0B"/>
                <w:sz w:val="14"/>
              </w:rPr>
              <w:t>25%</w:t>
            </w:r>
          </w:p>
        </w:tc>
        <w:tc>
          <w:tcPr>
            <w:tcW w:type="dxa" w:w="762"/>
            <w:shd w:val="clear" w:color="auto" w:fill="EEF3FA"/>
          </w:tcPr>
          <w:p>
            <w:pPr>
              <w:spacing w:before="32" w:after="32" w:line="240" w:lineRule="auto"/>
              <w:jc w:val="right"/>
            </w:pPr>
            <w:r>
              <w:rPr>
                <w:b w:val="0"/>
                <w:color w:val="0B0B0B"/>
                <w:sz w:val="14"/>
              </w:rPr>
              <w:t>25%</w:t>
            </w:r>
          </w:p>
        </w:tc>
        <w:tc>
          <w:tcPr>
            <w:tcW w:type="dxa" w:w="1759"/>
            <w:shd w:val="clear" w:color="auto" w:fill="EEF3FA"/>
          </w:tcPr>
          <w:p>
            <w:pPr>
              <w:spacing w:before="32" w:after="32" w:line="240" w:lineRule="auto"/>
              <w:jc w:val="right"/>
            </w:pPr>
            <w:r>
              <w:rPr>
                <w:b w:val="0"/>
                <w:color w:val="0B0B0B"/>
                <w:sz w:val="14"/>
              </w:rPr>
              <w:t>Wind</w:t>
            </w:r>
          </w:p>
        </w:tc>
        <w:tc>
          <w:tcPr>
            <w:tcW w:type="dxa" w:w="3460"/>
            <w:shd w:val="clear" w:color="auto" w:fill="EEF3FA"/>
          </w:tcPr>
          <w:p>
            <w:pPr>
              <w:spacing w:before="32" w:after="32" w:line="240" w:lineRule="auto"/>
              <w:jc w:val="right"/>
            </w:pPr>
            <w:r>
              <w:rPr>
                <w:b w:val="0"/>
                <w:color w:val="0B0B0B"/>
                <w:sz w:val="14"/>
              </w:rPr>
              <w:t>4,521MW by FY27E, 6,978MW by FY30E</w:t>
            </w:r>
          </w:p>
        </w:tc>
      </w:tr>
      <w:tr>
        <w:tc>
          <w:tcPr>
            <w:tcW w:type="dxa" w:w="1408"/>
          </w:tcPr>
          <w:p>
            <w:pPr>
              <w:spacing w:before="32" w:after="32" w:line="240" w:lineRule="auto"/>
              <w:jc w:val="left"/>
            </w:pPr>
            <w:r>
              <w:rPr>
                <w:b w:val="0"/>
                <w:color w:val="0B0B0B"/>
                <w:sz w:val="14"/>
              </w:rPr>
              <w:t>Hybrid / FDRE</w:t>
            </w:r>
          </w:p>
        </w:tc>
        <w:tc>
          <w:tcPr>
            <w:tcW w:type="dxa" w:w="1408"/>
          </w:tcPr>
          <w:p>
            <w:pPr>
              <w:spacing w:before="32" w:after="32" w:line="240" w:lineRule="auto"/>
              <w:jc w:val="right"/>
            </w:pPr>
            <w:r>
              <w:rPr>
                <w:b w:val="0"/>
                <w:color w:val="0B0B0B"/>
                <w:sz w:val="14"/>
              </w:rPr>
              <w:t>Multi-state</w:t>
            </w:r>
          </w:p>
        </w:tc>
        <w:tc>
          <w:tcPr>
            <w:tcW w:type="dxa" w:w="645"/>
          </w:tcPr>
          <w:p>
            <w:pPr>
              <w:spacing w:before="32" w:after="32" w:line="240" w:lineRule="auto"/>
              <w:jc w:val="right"/>
            </w:pPr>
            <w:r>
              <w:rPr>
                <w:b w:val="0"/>
                <w:color w:val="0B0B0B"/>
                <w:sz w:val="14"/>
              </w:rPr>
              <w:t>451</w:t>
            </w:r>
          </w:p>
        </w:tc>
        <w:tc>
          <w:tcPr>
            <w:tcW w:type="dxa" w:w="762"/>
          </w:tcPr>
          <w:p>
            <w:pPr>
              <w:spacing w:before="32" w:after="32" w:line="240" w:lineRule="auto"/>
              <w:jc w:val="right"/>
            </w:pPr>
            <w:r>
              <w:rPr>
                <w:b w:val="0"/>
                <w:color w:val="0B0B0B"/>
                <w:sz w:val="14"/>
              </w:rPr>
              <w:t>n/a</w:t>
            </w:r>
          </w:p>
        </w:tc>
        <w:tc>
          <w:tcPr>
            <w:tcW w:type="dxa" w:w="762"/>
          </w:tcPr>
          <w:p>
            <w:pPr>
              <w:spacing w:before="32" w:after="32" w:line="240" w:lineRule="auto"/>
              <w:jc w:val="right"/>
            </w:pPr>
            <w:r>
              <w:rPr>
                <w:b w:val="0"/>
                <w:color w:val="0B0B0B"/>
                <w:sz w:val="14"/>
              </w:rPr>
              <w:t>n/a</w:t>
            </w:r>
          </w:p>
        </w:tc>
        <w:tc>
          <w:tcPr>
            <w:tcW w:type="dxa" w:w="1759"/>
          </w:tcPr>
          <w:p>
            <w:pPr>
              <w:spacing w:before="32" w:after="32" w:line="240" w:lineRule="auto"/>
              <w:jc w:val="right"/>
            </w:pPr>
            <w:r>
              <w:rPr>
                <w:b w:val="0"/>
                <w:color w:val="0B0B0B"/>
                <w:sz w:val="14"/>
              </w:rPr>
              <w:t>Solar+wind+storage</w:t>
            </w:r>
          </w:p>
        </w:tc>
        <w:tc>
          <w:tcPr>
            <w:tcW w:type="dxa" w:w="3460"/>
          </w:tcPr>
          <w:p>
            <w:pPr>
              <w:spacing w:before="32" w:after="32" w:line="240" w:lineRule="auto"/>
              <w:jc w:val="right"/>
            </w:pPr>
            <w:r>
              <w:rPr>
                <w:b w:val="0"/>
                <w:color w:val="0B0B0B"/>
                <w:sz w:val="14"/>
              </w:rPr>
              <w:t>521MW by FY27E, 4,798MW by FY30E</w:t>
            </w:r>
          </w:p>
        </w:tc>
      </w:tr>
      <w:tr>
        <w:tc>
          <w:tcPr>
            <w:tcW w:type="dxa" w:w="1408"/>
            <w:shd w:val="clear" w:color="auto" w:fill="EEF3FA"/>
          </w:tcPr>
          <w:p>
            <w:pPr>
              <w:spacing w:before="32" w:after="32" w:line="240" w:lineRule="auto"/>
              <w:jc w:val="left"/>
            </w:pPr>
            <w:r>
              <w:rPr>
                <w:b w:val="0"/>
                <w:color w:val="0B0B0B"/>
                <w:sz w:val="14"/>
              </w:rPr>
              <w:t>BESS and PSP</w:t>
            </w:r>
          </w:p>
        </w:tc>
        <w:tc>
          <w:tcPr>
            <w:tcW w:type="dxa" w:w="1408"/>
            <w:shd w:val="clear" w:color="auto" w:fill="EEF3FA"/>
          </w:tcPr>
          <w:p>
            <w:pPr>
              <w:spacing w:before="32" w:after="32" w:line="240" w:lineRule="auto"/>
              <w:jc w:val="right"/>
            </w:pPr>
            <w:r>
              <w:rPr>
                <w:b w:val="0"/>
                <w:color w:val="0B0B0B"/>
                <w:sz w:val="14"/>
              </w:rPr>
              <w:t>Rajasthan, Maharashtra, UP</w:t>
            </w:r>
          </w:p>
        </w:tc>
        <w:tc>
          <w:tcPr>
            <w:tcW w:type="dxa" w:w="645"/>
            <w:shd w:val="clear" w:color="auto" w:fill="EEF3FA"/>
          </w:tcPr>
          <w:p>
            <w:pPr>
              <w:spacing w:before="32" w:after="32" w:line="240" w:lineRule="auto"/>
              <w:jc w:val="right"/>
            </w:pPr>
            <w:r>
              <w:rPr>
                <w:b w:val="0"/>
                <w:color w:val="0B0B0B"/>
                <w:sz w:val="14"/>
              </w:rPr>
              <w:t>0</w:t>
            </w:r>
          </w:p>
        </w:tc>
        <w:tc>
          <w:tcPr>
            <w:tcW w:type="dxa" w:w="762"/>
            <w:shd w:val="clear" w:color="auto" w:fill="EEF3FA"/>
          </w:tcPr>
          <w:p>
            <w:pPr>
              <w:spacing w:before="32" w:after="32" w:line="240" w:lineRule="auto"/>
              <w:jc w:val="right"/>
            </w:pPr>
            <w:r>
              <w:rPr>
                <w:b w:val="0"/>
                <w:color w:val="0B0B0B"/>
                <w:sz w:val="14"/>
              </w:rPr>
              <w:t>n/a</w:t>
            </w:r>
          </w:p>
        </w:tc>
        <w:tc>
          <w:tcPr>
            <w:tcW w:type="dxa" w:w="762"/>
            <w:shd w:val="clear" w:color="auto" w:fill="EEF3FA"/>
          </w:tcPr>
          <w:p>
            <w:pPr>
              <w:spacing w:before="32" w:after="32" w:line="240" w:lineRule="auto"/>
              <w:jc w:val="right"/>
            </w:pPr>
            <w:r>
              <w:rPr>
                <w:b w:val="0"/>
                <w:color w:val="0B0B0B"/>
                <w:sz w:val="14"/>
              </w:rPr>
              <w:t>n/a</w:t>
            </w:r>
          </w:p>
        </w:tc>
        <w:tc>
          <w:tcPr>
            <w:tcW w:type="dxa" w:w="1759"/>
            <w:shd w:val="clear" w:color="auto" w:fill="EEF3FA"/>
          </w:tcPr>
          <w:p>
            <w:pPr>
              <w:spacing w:before="32" w:after="32" w:line="240" w:lineRule="auto"/>
              <w:jc w:val="right"/>
            </w:pPr>
            <w:r>
              <w:rPr>
                <w:b w:val="0"/>
                <w:color w:val="0B0B0B"/>
                <w:sz w:val="14"/>
              </w:rPr>
              <w:t>Storage</w:t>
            </w:r>
          </w:p>
        </w:tc>
        <w:tc>
          <w:tcPr>
            <w:tcW w:type="dxa" w:w="3460"/>
            <w:shd w:val="clear" w:color="auto" w:fill="EEF3FA"/>
          </w:tcPr>
          <w:p>
            <w:pPr>
              <w:spacing w:before="32" w:after="32" w:line="240" w:lineRule="auto"/>
              <w:jc w:val="right"/>
            </w:pPr>
            <w:r>
              <w:rPr>
                <w:b w:val="0"/>
                <w:color w:val="0B0B0B"/>
                <w:sz w:val="14"/>
              </w:rPr>
              <w:t>875MW BESS from FY28E; 1,500MW Bhavali PSP in FY30E. SECI BESS-1 (500MW, LoA Jul-2022) under dispute</w:t>
            </w:r>
          </w:p>
        </w:tc>
      </w:tr>
      <w:tr>
        <w:tc>
          <w:tcPr>
            <w:tcW w:type="dxa" w:w="1408"/>
          </w:tcPr>
          <w:p>
            <w:pPr>
              <w:spacing w:before="32" w:after="32" w:line="240" w:lineRule="auto"/>
              <w:jc w:val="left"/>
            </w:pPr>
            <w:r>
              <w:rPr>
                <w:b w:val="0"/>
                <w:color w:val="0B0B0B"/>
                <w:sz w:val="14"/>
              </w:rPr>
              <w:t>Salboni, West Bengal</w:t>
            </w:r>
          </w:p>
        </w:tc>
        <w:tc>
          <w:tcPr>
            <w:tcW w:type="dxa" w:w="1408"/>
          </w:tcPr>
          <w:p>
            <w:pPr>
              <w:spacing w:before="32" w:after="32" w:line="240" w:lineRule="auto"/>
              <w:jc w:val="right"/>
            </w:pPr>
            <w:r>
              <w:rPr>
                <w:b w:val="0"/>
                <w:color w:val="0B0B0B"/>
                <w:sz w:val="14"/>
              </w:rPr>
              <w:t>West Bengal</w:t>
            </w:r>
          </w:p>
        </w:tc>
        <w:tc>
          <w:tcPr>
            <w:tcW w:type="dxa" w:w="645"/>
          </w:tcPr>
          <w:p>
            <w:pPr>
              <w:spacing w:before="32" w:after="32" w:line="240" w:lineRule="auto"/>
              <w:jc w:val="right"/>
            </w:pPr>
            <w:r>
              <w:rPr>
                <w:b w:val="0"/>
                <w:color w:val="0B0B0B"/>
                <w:sz w:val="14"/>
              </w:rPr>
              <w:t>3,200</w:t>
            </w:r>
          </w:p>
        </w:tc>
        <w:tc>
          <w:tcPr>
            <w:tcW w:type="dxa" w:w="762"/>
          </w:tcPr>
          <w:p>
            <w:pPr>
              <w:spacing w:before="32" w:after="32" w:line="240" w:lineRule="auto"/>
              <w:jc w:val="right"/>
            </w:pPr>
            <w:r>
              <w:rPr>
                <w:b w:val="0"/>
                <w:color w:val="0B0B0B"/>
                <w:sz w:val="14"/>
              </w:rPr>
              <w:t>—</w:t>
            </w:r>
          </w:p>
        </w:tc>
        <w:tc>
          <w:tcPr>
            <w:tcW w:type="dxa" w:w="762"/>
          </w:tcPr>
          <w:p>
            <w:pPr>
              <w:spacing w:before="32" w:after="32" w:line="240" w:lineRule="auto"/>
              <w:jc w:val="right"/>
            </w:pPr>
            <w:r>
              <w:rPr>
                <w:b w:val="0"/>
                <w:color w:val="0B0B0B"/>
                <w:sz w:val="14"/>
              </w:rPr>
              <w:t>—</w:t>
            </w:r>
          </w:p>
        </w:tc>
        <w:tc>
          <w:tcPr>
            <w:tcW w:type="dxa" w:w="1759"/>
          </w:tcPr>
          <w:p>
            <w:pPr>
              <w:spacing w:before="32" w:after="32" w:line="240" w:lineRule="auto"/>
              <w:jc w:val="right"/>
            </w:pPr>
            <w:r>
              <w:rPr>
                <w:b w:val="0"/>
                <w:color w:val="0B0B0B"/>
                <w:sz w:val="14"/>
              </w:rPr>
              <w:t>Coal</w:t>
            </w:r>
          </w:p>
        </w:tc>
        <w:tc>
          <w:tcPr>
            <w:tcW w:type="dxa" w:w="3460"/>
          </w:tcPr>
          <w:p>
            <w:pPr>
              <w:spacing w:before="32" w:after="32" w:line="240" w:lineRule="auto"/>
              <w:jc w:val="right"/>
            </w:pPr>
            <w:r>
              <w:rPr>
                <w:b w:val="0"/>
                <w:color w:val="0B0B0B"/>
                <w:sz w:val="14"/>
              </w:rPr>
              <w:t>A second 1,600MW PPA was signed in FY26, making this the largest single site at 3,200MW. First 1,600MW under construction, equipment on schedule — NOT in the model's capacity or earnings; valued separately in the SOTP</w:t>
            </w:r>
          </w:p>
        </w:tc>
      </w:tr>
    </w:tbl>
    <w:p>
      <w:pPr>
        <w:spacing w:before="40" w:after="120"/>
      </w:pPr>
      <w:r>
        <w:rPr>
          <w:b w:val="0"/>
          <w:i/>
          <w:color w:val="8A8880"/>
          <w:sz w:val="14"/>
        </w:rPr>
        <w:t>Source: analyst model (Key and Assumptions sheets). PLFs are the model's assumptions. Plant-level capex and asset turns are disclosed only for the legacy thermal and hydro fleet; project-level capex for the renewable pipeline is not in the model and is therefore not shown.</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2698"/>
        <w:gridCol w:w="938"/>
        <w:gridCol w:w="938"/>
        <w:gridCol w:w="938"/>
        <w:gridCol w:w="938"/>
        <w:gridCol w:w="938"/>
        <w:gridCol w:w="938"/>
        <w:gridCol w:w="938"/>
        <w:gridCol w:w="938"/>
      </w:tblGrid>
      <w:tr>
        <w:tc>
          <w:tcPr>
            <w:tcW w:type="dxa" w:w="2698"/>
            <w:shd w:val="clear" w:color="auto" w:fill="1F3864"/>
          </w:tcPr>
          <w:p>
            <w:pPr>
              <w:spacing w:before="50" w:after="50"/>
              <w:jc w:val="left"/>
            </w:pPr>
            <w:r>
              <w:rPr>
                <w:b/>
                <w:color w:val="FFFFFF"/>
                <w:sz w:val="15"/>
              </w:rPr>
              <w:t>Capex (Rs.cr)</w:t>
            </w:r>
          </w:p>
        </w:tc>
        <w:tc>
          <w:tcPr>
            <w:tcW w:type="dxa" w:w="938"/>
            <w:shd w:val="clear" w:color="auto" w:fill="1F3864"/>
          </w:tcPr>
          <w:p>
            <w:pPr>
              <w:spacing w:before="50" w:after="50"/>
              <w:jc w:val="right"/>
            </w:pPr>
            <w:r>
              <w:rPr>
                <w:b/>
                <w:color w:val="FFFFFF"/>
                <w:sz w:val="15"/>
              </w:rPr>
              <w:t>FY23A</w:t>
            </w:r>
          </w:p>
        </w:tc>
        <w:tc>
          <w:tcPr>
            <w:tcW w:type="dxa" w:w="938"/>
            <w:shd w:val="clear" w:color="auto" w:fill="1F3864"/>
          </w:tcPr>
          <w:p>
            <w:pPr>
              <w:spacing w:before="50" w:after="50"/>
              <w:jc w:val="right"/>
            </w:pPr>
            <w:r>
              <w:rPr>
                <w:b/>
                <w:color w:val="FFFFFF"/>
                <w:sz w:val="15"/>
              </w:rPr>
              <w:t>FY24A</w:t>
            </w:r>
          </w:p>
        </w:tc>
        <w:tc>
          <w:tcPr>
            <w:tcW w:type="dxa" w:w="938"/>
            <w:shd w:val="clear" w:color="auto" w:fill="1F3864"/>
          </w:tcPr>
          <w:p>
            <w:pPr>
              <w:spacing w:before="50" w:after="50"/>
              <w:jc w:val="right"/>
            </w:pPr>
            <w:r>
              <w:rPr>
                <w:b/>
                <w:color w:val="FFFFFF"/>
                <w:sz w:val="15"/>
              </w:rPr>
              <w:t>FY25A</w:t>
            </w:r>
          </w:p>
        </w:tc>
        <w:tc>
          <w:tcPr>
            <w:tcW w:type="dxa" w:w="938"/>
            <w:shd w:val="clear" w:color="auto" w:fill="1F3864"/>
          </w:tcPr>
          <w:p>
            <w:pPr>
              <w:spacing w:before="50" w:after="50"/>
              <w:jc w:val="right"/>
            </w:pPr>
            <w:r>
              <w:rPr>
                <w:b/>
                <w:color w:val="FFFFFF"/>
                <w:sz w:val="15"/>
              </w:rPr>
              <w:t>FY26A</w:t>
            </w:r>
          </w:p>
        </w:tc>
        <w:tc>
          <w:tcPr>
            <w:tcW w:type="dxa" w:w="938"/>
            <w:shd w:val="clear" w:color="auto" w:fill="1F3864"/>
          </w:tcPr>
          <w:p>
            <w:pPr>
              <w:spacing w:before="50" w:after="50"/>
              <w:jc w:val="right"/>
            </w:pPr>
            <w:r>
              <w:rPr>
                <w:b/>
                <w:color w:val="FFFFFF"/>
                <w:sz w:val="15"/>
              </w:rPr>
              <w:t>FY27E</w:t>
            </w:r>
          </w:p>
        </w:tc>
        <w:tc>
          <w:tcPr>
            <w:tcW w:type="dxa" w:w="938"/>
            <w:shd w:val="clear" w:color="auto" w:fill="1F3864"/>
          </w:tcPr>
          <w:p>
            <w:pPr>
              <w:spacing w:before="50" w:after="50"/>
              <w:jc w:val="right"/>
            </w:pPr>
            <w:r>
              <w:rPr>
                <w:b/>
                <w:color w:val="FFFFFF"/>
                <w:sz w:val="15"/>
              </w:rPr>
              <w:t>FY28E</w:t>
            </w:r>
          </w:p>
        </w:tc>
        <w:tc>
          <w:tcPr>
            <w:tcW w:type="dxa" w:w="938"/>
            <w:shd w:val="clear" w:color="auto" w:fill="1F3864"/>
          </w:tcPr>
          <w:p>
            <w:pPr>
              <w:spacing w:before="50" w:after="50"/>
              <w:jc w:val="right"/>
            </w:pPr>
            <w:r>
              <w:rPr>
                <w:b/>
                <w:color w:val="FFFFFF"/>
                <w:sz w:val="15"/>
              </w:rPr>
              <w:t>FY29E</w:t>
            </w:r>
          </w:p>
        </w:tc>
        <w:tc>
          <w:tcPr>
            <w:tcW w:type="dxa" w:w="938"/>
            <w:shd w:val="clear" w:color="auto" w:fill="1F3864"/>
          </w:tcPr>
          <w:p>
            <w:pPr>
              <w:spacing w:before="50" w:after="50"/>
              <w:jc w:val="right"/>
            </w:pPr>
            <w:r>
              <w:rPr>
                <w:b/>
                <w:color w:val="FFFFFF"/>
                <w:sz w:val="15"/>
              </w:rPr>
              <w:t>FY30E</w:t>
            </w:r>
          </w:p>
        </w:tc>
      </w:tr>
      <w:tr>
        <w:tc>
          <w:tcPr>
            <w:tcW w:type="dxa" w:w="2698"/>
          </w:tcPr>
          <w:p>
            <w:pPr>
              <w:spacing w:before="32" w:after="32" w:line="240" w:lineRule="auto"/>
              <w:jc w:val="left"/>
            </w:pPr>
            <w:r>
              <w:rPr>
                <w:b w:val="0"/>
                <w:color w:val="0B0B0B"/>
                <w:sz w:val="15"/>
              </w:rPr>
              <w:t>Cash capex</w:t>
            </w:r>
          </w:p>
        </w:tc>
        <w:tc>
          <w:tcPr>
            <w:tcW w:type="dxa" w:w="938"/>
          </w:tcPr>
          <w:p>
            <w:pPr>
              <w:spacing w:before="32" w:after="32" w:line="240" w:lineRule="auto"/>
              <w:jc w:val="right"/>
            </w:pPr>
            <w:r>
              <w:rPr>
                <w:b w:val="0"/>
                <w:color w:val="0B0B0B"/>
                <w:sz w:val="15"/>
              </w:rPr>
              <w:t>4,237</w:t>
            </w:r>
          </w:p>
        </w:tc>
        <w:tc>
          <w:tcPr>
            <w:tcW w:type="dxa" w:w="938"/>
          </w:tcPr>
          <w:p>
            <w:pPr>
              <w:spacing w:before="32" w:after="32" w:line="240" w:lineRule="auto"/>
              <w:jc w:val="right"/>
            </w:pPr>
            <w:r>
              <w:rPr>
                <w:b w:val="0"/>
                <w:color w:val="0B0B0B"/>
                <w:sz w:val="15"/>
              </w:rPr>
              <w:t>8,032</w:t>
            </w:r>
          </w:p>
        </w:tc>
        <w:tc>
          <w:tcPr>
            <w:tcW w:type="dxa" w:w="938"/>
          </w:tcPr>
          <w:p>
            <w:pPr>
              <w:spacing w:before="32" w:after="32" w:line="240" w:lineRule="auto"/>
              <w:jc w:val="right"/>
            </w:pPr>
            <w:r>
              <w:rPr>
                <w:b w:val="0"/>
                <w:color w:val="0B0B0B"/>
                <w:sz w:val="15"/>
              </w:rPr>
              <w:t>6,707</w:t>
            </w:r>
          </w:p>
        </w:tc>
        <w:tc>
          <w:tcPr>
            <w:tcW w:type="dxa" w:w="938"/>
          </w:tcPr>
          <w:p>
            <w:pPr>
              <w:spacing w:before="32" w:after="32" w:line="240" w:lineRule="auto"/>
              <w:jc w:val="right"/>
            </w:pPr>
            <w:r>
              <w:rPr>
                <w:b w:val="0"/>
                <w:color w:val="0B0B0B"/>
                <w:sz w:val="15"/>
              </w:rPr>
              <w:t>10,112</w:t>
            </w:r>
          </w:p>
        </w:tc>
        <w:tc>
          <w:tcPr>
            <w:tcW w:type="dxa" w:w="938"/>
          </w:tcPr>
          <w:p>
            <w:pPr>
              <w:spacing w:before="32" w:after="32" w:line="240" w:lineRule="auto"/>
              <w:jc w:val="right"/>
            </w:pPr>
            <w:r>
              <w:rPr>
                <w:b w:val="0"/>
                <w:color w:val="0B0B0B"/>
                <w:sz w:val="15"/>
              </w:rPr>
              <w:t>21,229</w:t>
            </w:r>
          </w:p>
        </w:tc>
        <w:tc>
          <w:tcPr>
            <w:tcW w:type="dxa" w:w="938"/>
          </w:tcPr>
          <w:p>
            <w:pPr>
              <w:spacing w:before="32" w:after="32" w:line="240" w:lineRule="auto"/>
              <w:jc w:val="right"/>
            </w:pPr>
            <w:r>
              <w:rPr>
                <w:b w:val="0"/>
                <w:color w:val="0B0B0B"/>
                <w:sz w:val="15"/>
              </w:rPr>
              <w:t>21,864</w:t>
            </w:r>
          </w:p>
        </w:tc>
        <w:tc>
          <w:tcPr>
            <w:tcW w:type="dxa" w:w="938"/>
          </w:tcPr>
          <w:p>
            <w:pPr>
              <w:spacing w:before="32" w:after="32" w:line="240" w:lineRule="auto"/>
              <w:jc w:val="right"/>
            </w:pPr>
            <w:r>
              <w:rPr>
                <w:b w:val="0"/>
                <w:color w:val="0B0B0B"/>
                <w:sz w:val="15"/>
              </w:rPr>
              <w:t>21,656</w:t>
            </w:r>
          </w:p>
        </w:tc>
        <w:tc>
          <w:tcPr>
            <w:tcW w:type="dxa" w:w="938"/>
          </w:tcPr>
          <w:p>
            <w:pPr>
              <w:spacing w:before="32" w:after="32" w:line="240" w:lineRule="auto"/>
              <w:jc w:val="right"/>
            </w:pPr>
            <w:r>
              <w:rPr>
                <w:b w:val="0"/>
                <w:color w:val="0B0B0B"/>
                <w:sz w:val="15"/>
              </w:rPr>
              <w:t>24,816</w:t>
            </w:r>
          </w:p>
        </w:tc>
      </w:tr>
      <w:tr>
        <w:tc>
          <w:tcPr>
            <w:tcW w:type="dxa" w:w="2698"/>
            <w:shd w:val="clear" w:color="auto" w:fill="EEF3FA"/>
          </w:tcPr>
          <w:p>
            <w:pPr>
              <w:spacing w:before="32" w:after="32" w:line="240" w:lineRule="auto"/>
              <w:jc w:val="left"/>
            </w:pPr>
            <w:r>
              <w:rPr>
                <w:b w:val="0"/>
                <w:color w:val="0B0B0B"/>
                <w:sz w:val="15"/>
              </w:rPr>
              <w:t>Capacity added in year (MW)</w:t>
            </w:r>
          </w:p>
        </w:tc>
        <w:tc>
          <w:tcPr>
            <w:tcW w:type="dxa" w:w="938"/>
            <w:shd w:val="clear" w:color="auto" w:fill="EEF3FA"/>
          </w:tcPr>
          <w:p>
            <w:pPr>
              <w:spacing w:before="32" w:after="32" w:line="240" w:lineRule="auto"/>
              <w:jc w:val="right"/>
            </w:pPr>
            <w:r>
              <w:rPr>
                <w:b w:val="0"/>
                <w:color w:val="0B0B0B"/>
                <w:sz w:val="15"/>
              </w:rPr>
              <w:t>2,046</w:t>
            </w:r>
          </w:p>
        </w:tc>
        <w:tc>
          <w:tcPr>
            <w:tcW w:type="dxa" w:w="938"/>
            <w:shd w:val="clear" w:color="auto" w:fill="EEF3FA"/>
          </w:tcPr>
          <w:p>
            <w:pPr>
              <w:spacing w:before="32" w:after="32" w:line="240" w:lineRule="auto"/>
              <w:jc w:val="right"/>
            </w:pPr>
            <w:r>
              <w:rPr>
                <w:b w:val="0"/>
                <w:color w:val="0B0B0B"/>
                <w:sz w:val="15"/>
              </w:rPr>
              <w:t>645</w:t>
            </w:r>
          </w:p>
        </w:tc>
        <w:tc>
          <w:tcPr>
            <w:tcW w:type="dxa" w:w="938"/>
            <w:shd w:val="clear" w:color="auto" w:fill="EEF3FA"/>
          </w:tcPr>
          <w:p>
            <w:pPr>
              <w:spacing w:before="32" w:after="32" w:line="240" w:lineRule="auto"/>
              <w:jc w:val="right"/>
            </w:pPr>
            <w:r>
              <w:rPr>
                <w:b w:val="0"/>
                <w:color w:val="0B0B0B"/>
                <w:sz w:val="15"/>
              </w:rPr>
              <w:t>3,625</w:t>
            </w:r>
          </w:p>
        </w:tc>
        <w:tc>
          <w:tcPr>
            <w:tcW w:type="dxa" w:w="938"/>
            <w:shd w:val="clear" w:color="auto" w:fill="EEF3FA"/>
          </w:tcPr>
          <w:p>
            <w:pPr>
              <w:spacing w:before="32" w:after="32" w:line="240" w:lineRule="auto"/>
              <w:jc w:val="right"/>
            </w:pPr>
            <w:r>
              <w:rPr>
                <w:b w:val="0"/>
                <w:color w:val="0B0B0B"/>
                <w:sz w:val="15"/>
              </w:rPr>
              <w:t>2,579</w:t>
            </w:r>
          </w:p>
        </w:tc>
        <w:tc>
          <w:tcPr>
            <w:tcW w:type="dxa" w:w="938"/>
            <w:shd w:val="clear" w:color="auto" w:fill="EEF3FA"/>
          </w:tcPr>
          <w:p>
            <w:pPr>
              <w:spacing w:before="32" w:after="32" w:line="240" w:lineRule="auto"/>
              <w:jc w:val="right"/>
            </w:pPr>
            <w:r>
              <w:rPr>
                <w:b w:val="0"/>
                <w:color w:val="0B0B0B"/>
                <w:sz w:val="15"/>
              </w:rPr>
              <w:t>3,155</w:t>
            </w:r>
          </w:p>
        </w:tc>
        <w:tc>
          <w:tcPr>
            <w:tcW w:type="dxa" w:w="938"/>
            <w:shd w:val="clear" w:color="auto" w:fill="EEF3FA"/>
          </w:tcPr>
          <w:p>
            <w:pPr>
              <w:spacing w:before="32" w:after="32" w:line="240" w:lineRule="auto"/>
              <w:jc w:val="right"/>
            </w:pPr>
            <w:r>
              <w:rPr>
                <w:b w:val="0"/>
                <w:color w:val="0B0B0B"/>
                <w:sz w:val="15"/>
              </w:rPr>
              <w:t>3,387</w:t>
            </w:r>
          </w:p>
        </w:tc>
        <w:tc>
          <w:tcPr>
            <w:tcW w:type="dxa" w:w="938"/>
            <w:shd w:val="clear" w:color="auto" w:fill="EEF3FA"/>
          </w:tcPr>
          <w:p>
            <w:pPr>
              <w:spacing w:before="32" w:after="32" w:line="240" w:lineRule="auto"/>
              <w:jc w:val="right"/>
            </w:pPr>
            <w:r>
              <w:rPr>
                <w:b w:val="0"/>
                <w:color w:val="0B0B0B"/>
                <w:sz w:val="15"/>
              </w:rPr>
              <w:t>2,800</w:t>
            </w:r>
          </w:p>
        </w:tc>
        <w:tc>
          <w:tcPr>
            <w:tcW w:type="dxa" w:w="938"/>
            <w:shd w:val="clear" w:color="auto" w:fill="EEF3FA"/>
          </w:tcPr>
          <w:p>
            <w:pPr>
              <w:spacing w:before="32" w:after="32" w:line="240" w:lineRule="auto"/>
              <w:jc w:val="right"/>
            </w:pPr>
            <w:r>
              <w:rPr>
                <w:b w:val="0"/>
                <w:color w:val="0B0B0B"/>
                <w:sz w:val="15"/>
              </w:rPr>
              <w:t>3,109</w:t>
            </w:r>
          </w:p>
        </w:tc>
      </w:tr>
      <w:tr>
        <w:tc>
          <w:tcPr>
            <w:tcW w:type="dxa" w:w="2698"/>
          </w:tcPr>
          <w:p>
            <w:pPr>
              <w:spacing w:before="32" w:after="32" w:line="240" w:lineRule="auto"/>
              <w:jc w:val="left"/>
            </w:pPr>
            <w:r>
              <w:rPr>
                <w:b w:val="0"/>
                <w:color w:val="0B0B0B"/>
                <w:sz w:val="15"/>
              </w:rPr>
              <w:t>Implied capex per MW (Rs.cr)</w:t>
            </w:r>
          </w:p>
        </w:tc>
        <w:tc>
          <w:tcPr>
            <w:tcW w:type="dxa" w:w="938"/>
          </w:tcPr>
          <w:p>
            <w:pPr>
              <w:spacing w:before="32" w:after="32" w:line="240" w:lineRule="auto"/>
              <w:jc w:val="right"/>
            </w:pPr>
            <w:r>
              <w:rPr>
                <w:b w:val="0"/>
                <w:color w:val="0B0B0B"/>
                <w:sz w:val="15"/>
              </w:rPr>
              <w:t>2.1</w:t>
            </w:r>
          </w:p>
        </w:tc>
        <w:tc>
          <w:tcPr>
            <w:tcW w:type="dxa" w:w="938"/>
          </w:tcPr>
          <w:p>
            <w:pPr>
              <w:spacing w:before="32" w:after="32" w:line="240" w:lineRule="auto"/>
              <w:jc w:val="right"/>
            </w:pPr>
            <w:r>
              <w:rPr>
                <w:b w:val="0"/>
                <w:color w:val="0B0B0B"/>
                <w:sz w:val="15"/>
              </w:rPr>
              <w:t>12.5</w:t>
            </w:r>
          </w:p>
        </w:tc>
        <w:tc>
          <w:tcPr>
            <w:tcW w:type="dxa" w:w="938"/>
          </w:tcPr>
          <w:p>
            <w:pPr>
              <w:spacing w:before="32" w:after="32" w:line="240" w:lineRule="auto"/>
              <w:jc w:val="right"/>
            </w:pPr>
            <w:r>
              <w:rPr>
                <w:b w:val="0"/>
                <w:color w:val="0B0B0B"/>
                <w:sz w:val="15"/>
              </w:rPr>
              <w:t>1.9</w:t>
            </w:r>
          </w:p>
        </w:tc>
        <w:tc>
          <w:tcPr>
            <w:tcW w:type="dxa" w:w="938"/>
          </w:tcPr>
          <w:p>
            <w:pPr>
              <w:spacing w:before="32" w:after="32" w:line="240" w:lineRule="auto"/>
              <w:jc w:val="right"/>
            </w:pPr>
            <w:r>
              <w:rPr>
                <w:b w:val="0"/>
                <w:color w:val="0B0B0B"/>
                <w:sz w:val="15"/>
              </w:rPr>
              <w:t>3.9</w:t>
            </w:r>
          </w:p>
        </w:tc>
        <w:tc>
          <w:tcPr>
            <w:tcW w:type="dxa" w:w="938"/>
          </w:tcPr>
          <w:p>
            <w:pPr>
              <w:spacing w:before="32" w:after="32" w:line="240" w:lineRule="auto"/>
              <w:jc w:val="right"/>
            </w:pPr>
            <w:r>
              <w:rPr>
                <w:b w:val="0"/>
                <w:color w:val="0B0B0B"/>
                <w:sz w:val="15"/>
              </w:rPr>
              <w:t>6.7</w:t>
            </w:r>
          </w:p>
        </w:tc>
        <w:tc>
          <w:tcPr>
            <w:tcW w:type="dxa" w:w="938"/>
          </w:tcPr>
          <w:p>
            <w:pPr>
              <w:spacing w:before="32" w:after="32" w:line="240" w:lineRule="auto"/>
              <w:jc w:val="right"/>
            </w:pPr>
            <w:r>
              <w:rPr>
                <w:b w:val="0"/>
                <w:color w:val="0B0B0B"/>
                <w:sz w:val="15"/>
              </w:rPr>
              <w:t>6.5</w:t>
            </w:r>
          </w:p>
        </w:tc>
        <w:tc>
          <w:tcPr>
            <w:tcW w:type="dxa" w:w="938"/>
          </w:tcPr>
          <w:p>
            <w:pPr>
              <w:spacing w:before="32" w:after="32" w:line="240" w:lineRule="auto"/>
              <w:jc w:val="right"/>
            </w:pPr>
            <w:r>
              <w:rPr>
                <w:b w:val="0"/>
                <w:color w:val="0B0B0B"/>
                <w:sz w:val="15"/>
              </w:rPr>
              <w:t>7.7</w:t>
            </w:r>
          </w:p>
        </w:tc>
        <w:tc>
          <w:tcPr>
            <w:tcW w:type="dxa" w:w="938"/>
          </w:tcPr>
          <w:p>
            <w:pPr>
              <w:spacing w:before="32" w:after="32" w:line="240" w:lineRule="auto"/>
              <w:jc w:val="right"/>
            </w:pPr>
            <w:r>
              <w:rPr>
                <w:b w:val="0"/>
                <w:color w:val="0B0B0B"/>
                <w:sz w:val="15"/>
              </w:rPr>
              <w:t>8.0</w:t>
            </w:r>
          </w:p>
        </w:tc>
      </w:tr>
      <w:tr>
        <w:tc>
          <w:tcPr>
            <w:tcW w:type="dxa" w:w="2698"/>
            <w:shd w:val="clear" w:color="auto" w:fill="EEF3FA"/>
          </w:tcPr>
          <w:p>
            <w:pPr>
              <w:spacing w:before="32" w:after="32" w:line="240" w:lineRule="auto"/>
              <w:jc w:val="left"/>
            </w:pPr>
            <w:r>
              <w:rPr>
                <w:b w:val="0"/>
                <w:color w:val="0B0B0B"/>
                <w:sz w:val="15"/>
              </w:rPr>
              <w:t>Capital work-in-progress</w:t>
            </w:r>
          </w:p>
        </w:tc>
        <w:tc>
          <w:tcPr>
            <w:tcW w:type="dxa" w:w="938"/>
            <w:shd w:val="clear" w:color="auto" w:fill="EEF3FA"/>
          </w:tcPr>
          <w:p>
            <w:pPr>
              <w:spacing w:before="32" w:after="32" w:line="240" w:lineRule="auto"/>
              <w:jc w:val="right"/>
            </w:pPr>
            <w:r>
              <w:rPr>
                <w:b w:val="0"/>
                <w:color w:val="0B0B0B"/>
                <w:sz w:val="15"/>
              </w:rPr>
              <w:t>4,788</w:t>
            </w:r>
          </w:p>
        </w:tc>
        <w:tc>
          <w:tcPr>
            <w:tcW w:type="dxa" w:w="938"/>
            <w:shd w:val="clear" w:color="auto" w:fill="EEF3FA"/>
          </w:tcPr>
          <w:p>
            <w:pPr>
              <w:spacing w:before="32" w:after="32" w:line="240" w:lineRule="auto"/>
              <w:jc w:val="right"/>
            </w:pPr>
            <w:r>
              <w:rPr>
                <w:b w:val="0"/>
                <w:color w:val="0B0B0B"/>
                <w:sz w:val="15"/>
              </w:rPr>
              <w:t>10,285</w:t>
            </w:r>
          </w:p>
        </w:tc>
        <w:tc>
          <w:tcPr>
            <w:tcW w:type="dxa" w:w="938"/>
            <w:shd w:val="clear" w:color="auto" w:fill="EEF3FA"/>
          </w:tcPr>
          <w:p>
            <w:pPr>
              <w:spacing w:before="32" w:after="32" w:line="240" w:lineRule="auto"/>
              <w:jc w:val="right"/>
            </w:pPr>
            <w:r>
              <w:rPr>
                <w:b w:val="0"/>
                <w:color w:val="0B0B0B"/>
                <w:sz w:val="15"/>
              </w:rPr>
              <w:t>10,281</w:t>
            </w:r>
          </w:p>
        </w:tc>
        <w:tc>
          <w:tcPr>
            <w:tcW w:type="dxa" w:w="938"/>
            <w:shd w:val="clear" w:color="auto" w:fill="EEF3FA"/>
          </w:tcPr>
          <w:p>
            <w:pPr>
              <w:spacing w:before="32" w:after="32" w:line="240" w:lineRule="auto"/>
              <w:jc w:val="right"/>
            </w:pPr>
            <w:r>
              <w:rPr>
                <w:b w:val="0"/>
                <w:color w:val="0B0B0B"/>
                <w:sz w:val="15"/>
              </w:rPr>
              <w:t>17,464</w:t>
            </w:r>
          </w:p>
        </w:tc>
        <w:tc>
          <w:tcPr>
            <w:tcW w:type="dxa" w:w="938"/>
            <w:shd w:val="clear" w:color="auto" w:fill="EEF3FA"/>
          </w:tcPr>
          <w:p>
            <w:pPr>
              <w:spacing w:before="32" w:after="32" w:line="240" w:lineRule="auto"/>
              <w:jc w:val="right"/>
            </w:pPr>
            <w:r>
              <w:rPr>
                <w:b w:val="0"/>
                <w:color w:val="0B0B0B"/>
                <w:sz w:val="15"/>
              </w:rPr>
              <w:t>25,603</w:t>
            </w:r>
          </w:p>
        </w:tc>
        <w:tc>
          <w:tcPr>
            <w:tcW w:type="dxa" w:w="938"/>
            <w:shd w:val="clear" w:color="auto" w:fill="EEF3FA"/>
          </w:tcPr>
          <w:p>
            <w:pPr>
              <w:spacing w:before="32" w:after="32" w:line="240" w:lineRule="auto"/>
              <w:jc w:val="right"/>
            </w:pPr>
            <w:r>
              <w:rPr>
                <w:b w:val="0"/>
                <w:color w:val="0B0B0B"/>
                <w:sz w:val="15"/>
              </w:rPr>
              <w:t>17,667</w:t>
            </w:r>
          </w:p>
        </w:tc>
        <w:tc>
          <w:tcPr>
            <w:tcW w:type="dxa" w:w="938"/>
            <w:shd w:val="clear" w:color="auto" w:fill="EEF3FA"/>
          </w:tcPr>
          <w:p>
            <w:pPr>
              <w:spacing w:before="32" w:after="32" w:line="240" w:lineRule="auto"/>
              <w:jc w:val="right"/>
            </w:pPr>
            <w:r>
              <w:rPr>
                <w:b w:val="0"/>
                <w:color w:val="0B0B0B"/>
                <w:sz w:val="15"/>
              </w:rPr>
              <w:t>21,503</w:t>
            </w:r>
          </w:p>
        </w:tc>
        <w:tc>
          <w:tcPr>
            <w:tcW w:type="dxa" w:w="938"/>
            <w:shd w:val="clear" w:color="auto" w:fill="EEF3FA"/>
          </w:tcPr>
          <w:p>
            <w:pPr>
              <w:spacing w:before="32" w:after="32" w:line="240" w:lineRule="auto"/>
              <w:jc w:val="right"/>
            </w:pPr>
            <w:r>
              <w:rPr>
                <w:b w:val="0"/>
                <w:color w:val="0B0B0B"/>
                <w:sz w:val="15"/>
              </w:rPr>
              <w:t>16,286</w:t>
            </w:r>
          </w:p>
        </w:tc>
      </w:tr>
      <w:tr>
        <w:tc>
          <w:tcPr>
            <w:tcW w:type="dxa" w:w="2698"/>
          </w:tcPr>
          <w:p>
            <w:pPr>
              <w:spacing w:before="32" w:after="32" w:line="240" w:lineRule="auto"/>
              <w:jc w:val="left"/>
            </w:pPr>
            <w:r>
              <w:rPr>
                <w:b w:val="0"/>
                <w:color w:val="0B0B0B"/>
                <w:sz w:val="15"/>
              </w:rPr>
              <w:t>CWIP as % of gross block</w:t>
            </w:r>
          </w:p>
        </w:tc>
        <w:tc>
          <w:tcPr>
            <w:tcW w:type="dxa" w:w="938"/>
          </w:tcPr>
          <w:p>
            <w:pPr>
              <w:spacing w:before="32" w:after="32" w:line="240" w:lineRule="auto"/>
              <w:jc w:val="right"/>
            </w:pPr>
            <w:r>
              <w:rPr>
                <w:b w:val="0"/>
                <w:color w:val="0B0B0B"/>
                <w:sz w:val="15"/>
              </w:rPr>
              <w:t>15%</w:t>
            </w:r>
          </w:p>
        </w:tc>
        <w:tc>
          <w:tcPr>
            <w:tcW w:type="dxa" w:w="938"/>
          </w:tcPr>
          <w:p>
            <w:pPr>
              <w:spacing w:before="32" w:after="32" w:line="240" w:lineRule="auto"/>
              <w:jc w:val="right"/>
            </w:pPr>
            <w:r>
              <w:rPr>
                <w:b w:val="0"/>
                <w:color w:val="0B0B0B"/>
                <w:sz w:val="15"/>
              </w:rPr>
              <w:t>27%</w:t>
            </w:r>
          </w:p>
        </w:tc>
        <w:tc>
          <w:tcPr>
            <w:tcW w:type="dxa" w:w="938"/>
          </w:tcPr>
          <w:p>
            <w:pPr>
              <w:spacing w:before="32" w:after="32" w:line="240" w:lineRule="auto"/>
              <w:jc w:val="right"/>
            </w:pPr>
            <w:r>
              <w:rPr>
                <w:b w:val="0"/>
                <w:color w:val="0B0B0B"/>
                <w:sz w:val="15"/>
              </w:rPr>
              <w:t>16%</w:t>
            </w:r>
          </w:p>
        </w:tc>
        <w:tc>
          <w:tcPr>
            <w:tcW w:type="dxa" w:w="938"/>
          </w:tcPr>
          <w:p>
            <w:pPr>
              <w:spacing w:before="32" w:after="32" w:line="240" w:lineRule="auto"/>
              <w:jc w:val="right"/>
            </w:pPr>
            <w:r>
              <w:rPr>
                <w:b w:val="0"/>
                <w:color w:val="0B0B0B"/>
                <w:sz w:val="15"/>
              </w:rPr>
              <w:t>20%</w:t>
            </w:r>
          </w:p>
        </w:tc>
        <w:tc>
          <w:tcPr>
            <w:tcW w:type="dxa" w:w="938"/>
          </w:tcPr>
          <w:p>
            <w:pPr>
              <w:spacing w:before="32" w:after="32" w:line="240" w:lineRule="auto"/>
              <w:jc w:val="right"/>
            </w:pPr>
            <w:r>
              <w:rPr>
                <w:b w:val="0"/>
                <w:color w:val="0B0B0B"/>
                <w:sz w:val="15"/>
              </w:rPr>
              <w:t>25%</w:t>
            </w:r>
          </w:p>
        </w:tc>
        <w:tc>
          <w:tcPr>
            <w:tcW w:type="dxa" w:w="938"/>
          </w:tcPr>
          <w:p>
            <w:pPr>
              <w:spacing w:before="32" w:after="32" w:line="240" w:lineRule="auto"/>
              <w:jc w:val="right"/>
            </w:pPr>
            <w:r>
              <w:rPr>
                <w:b w:val="0"/>
                <w:color w:val="0B0B0B"/>
                <w:sz w:val="15"/>
              </w:rPr>
              <w:t>13%</w:t>
            </w:r>
          </w:p>
        </w:tc>
        <w:tc>
          <w:tcPr>
            <w:tcW w:type="dxa" w:w="938"/>
          </w:tcPr>
          <w:p>
            <w:pPr>
              <w:spacing w:before="32" w:after="32" w:line="240" w:lineRule="auto"/>
              <w:jc w:val="right"/>
            </w:pPr>
            <w:r>
              <w:rPr>
                <w:b w:val="0"/>
                <w:color w:val="0B0B0B"/>
                <w:sz w:val="15"/>
              </w:rPr>
              <w:t>14%</w:t>
            </w:r>
          </w:p>
        </w:tc>
        <w:tc>
          <w:tcPr>
            <w:tcW w:type="dxa" w:w="938"/>
          </w:tcPr>
          <w:p>
            <w:pPr>
              <w:spacing w:before="32" w:after="32" w:line="240" w:lineRule="auto"/>
              <w:jc w:val="right"/>
            </w:pPr>
            <w:r>
              <w:rPr>
                <w:b w:val="0"/>
                <w:color w:val="0B0B0B"/>
                <w:sz w:val="15"/>
              </w:rPr>
              <w:t>9%</w:t>
            </w:r>
          </w:p>
        </w:tc>
      </w:tr>
    </w:tbl>
    <w:p>
      <w:pPr>
        <w:spacing w:before="40" w:after="120"/>
      </w:pPr>
      <w:r>
        <w:rPr>
          <w:b w:val="0"/>
          <w:i/>
          <w:color w:val="8A8880"/>
          <w:sz w:val="14"/>
        </w:rPr>
        <w:t>Implied capex per MW is capex in the year divided by capacity commissioned in the year and is therefore distorted by construction lead times — FY24A's Rs.12.5cr/MW reflects spend on capacity that commissioned in FY25A. Maintenance capex is not separately disclosed in the model; on a Rs.88,885cr gross block, a conventional 1.5% maintenance charge would be roughly Rs.1,300cr a year, meaning approximately 94% of FY27E capex is growth capex. That split is an inference, not a disclosure.</w:t>
      </w:r>
    </w:p>
    <w:p>
      <w:pPr>
        <w:spacing w:before="0" w:after="100"/>
      </w:pPr>
      <w:r>
        <w:rPr>
          <w:b w:val="0"/>
          <w:i w:val="0"/>
          <w:color w:val="0B0B0B"/>
          <w:sz w:val="17"/>
        </w:rPr>
        <w:t>Where expansion has slipped, and why. Three cases are dated in the model's own project tracker. Kutehr carried an original CoD of 1 September 2024 and commissioned in Q2FY26. The 125MW Hetero wind acquisition carries a CoD of 31 March 2023 and is still under construction. SECI BESS-1 (500MW / 1,000MWh) has a letter of award dated 15 July 2022, is marked under dispute, and the model assumes no impairment against it. Management's stated cause for renewable slippage is grid evacuation, and it is corroborated: against a government plan of 15,000 circuit-km of transmission last year, only 9,500 circuit-km were built, and management says the constraint eases only around 2029. Its response is to deliberately defer investment until connectivity is available — on the call it said it starts work only when land and connectivity are 100% secured, which avoids stranded capital and penalties but does push commissioning right. Curtailment is the visible cost: about 160 million units were curtailed in Q4FY26, most under permanent grid access where the tariff is still received, leaving a revenue loss of roughly Rs.15cr in the quarter and Rs.50cr for FY26A, concentrated in two Rajasthan assets. Management expects this to end with a new evacuation line around July 2026.</w:t>
      </w:r>
    </w:p>
    <w:p>
      <w:pPr>
        <w:spacing w:before="0" w:after="100"/>
      </w:pPr>
      <w:r>
        <w:rPr>
          <w:b w:val="0"/>
          <w:i w:val="0"/>
          <w:color w:val="0B0B0B"/>
          <w:sz w:val="17"/>
        </w:rPr>
        <w:t>The scale of the commitment is now in the audited accounts. Capital contracts remaining to be executed stood at Rs.24,184cr at 31 March 2026, against Rs.8,796cr a year earlier — a 2.7x increase that independently corroborates the model's Rs.21,229cr FY27E capex line and management's own guidance of about Rs.20,000cr for FY27, of which Rs.4,000–5,000cr is earmarked for the thermal and pumped-storage projects and the balance for wind, solar and batteries.</w:t>
      </w:r>
    </w:p>
    <w:p>
      <w:pPr>
        <w:keepNext/>
        <w:spacing w:before="180" w:after="40"/>
      </w:pPr>
      <w:r>
        <w:rPr>
          <w:b/>
          <w:color w:val="1F3864"/>
          <w:sz w:val="21"/>
        </w:rPr>
        <w:t>8.  Customers, Contracts and Revenue Visibility</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3050"/>
        <w:gridCol w:w="1407"/>
        <w:gridCol w:w="1876"/>
        <w:gridCol w:w="1290"/>
        <w:gridCol w:w="2580"/>
      </w:tblGrid>
      <w:tr>
        <w:tc>
          <w:tcPr>
            <w:tcW w:type="dxa" w:w="3050"/>
            <w:shd w:val="clear" w:color="auto" w:fill="1F3864"/>
          </w:tcPr>
          <w:p>
            <w:pPr>
              <w:spacing w:before="50" w:after="50"/>
              <w:jc w:val="left"/>
            </w:pPr>
            <w:r>
              <w:rPr>
                <w:b/>
                <w:color w:val="FFFFFF"/>
                <w:sz w:val="14"/>
              </w:rPr>
              <w:t>Offtaker</w:t>
            </w:r>
          </w:p>
        </w:tc>
        <w:tc>
          <w:tcPr>
            <w:tcW w:type="dxa" w:w="1408"/>
            <w:shd w:val="clear" w:color="auto" w:fill="1F3864"/>
          </w:tcPr>
          <w:p>
            <w:pPr>
              <w:spacing w:before="50" w:after="50"/>
              <w:jc w:val="right"/>
            </w:pPr>
            <w:r>
              <w:rPr>
                <w:b/>
                <w:color w:val="FFFFFF"/>
                <w:sz w:val="14"/>
              </w:rPr>
              <w:t>Capacity tied (MW)</w:t>
            </w:r>
          </w:p>
        </w:tc>
        <w:tc>
          <w:tcPr>
            <w:tcW w:type="dxa" w:w="1877"/>
            <w:shd w:val="clear" w:color="auto" w:fill="1F3864"/>
          </w:tcPr>
          <w:p>
            <w:pPr>
              <w:spacing w:before="50" w:after="50"/>
              <w:jc w:val="right"/>
            </w:pPr>
            <w:r>
              <w:rPr>
                <w:b/>
                <w:color w:val="FFFFFF"/>
                <w:sz w:val="14"/>
              </w:rPr>
              <w:t>Contract type</w:t>
            </w:r>
          </w:p>
        </w:tc>
        <w:tc>
          <w:tcPr>
            <w:tcW w:type="dxa" w:w="1290"/>
            <w:shd w:val="clear" w:color="auto" w:fill="1F3864"/>
          </w:tcPr>
          <w:p>
            <w:pPr>
              <w:spacing w:before="50" w:after="50"/>
              <w:jc w:val="right"/>
            </w:pPr>
            <w:r>
              <w:rPr>
                <w:b/>
                <w:color w:val="FFFFFF"/>
                <w:sz w:val="14"/>
              </w:rPr>
              <w:t>Tenure</w:t>
            </w:r>
          </w:p>
        </w:tc>
        <w:tc>
          <w:tcPr>
            <w:tcW w:type="dxa" w:w="2581"/>
            <w:shd w:val="clear" w:color="auto" w:fill="1F3864"/>
          </w:tcPr>
          <w:p>
            <w:pPr>
              <w:spacing w:before="50" w:after="50"/>
              <w:jc w:val="right"/>
            </w:pPr>
            <w:r>
              <w:rPr>
                <w:b/>
                <w:color w:val="FFFFFF"/>
                <w:sz w:val="14"/>
              </w:rPr>
              <w:t>Who bears fuel cost</w:t>
            </w:r>
          </w:p>
        </w:tc>
      </w:tr>
      <w:tr>
        <w:tc>
          <w:tcPr>
            <w:tcW w:type="dxa" w:w="3050"/>
          </w:tcPr>
          <w:p>
            <w:pPr>
              <w:spacing w:before="32" w:after="32" w:line="240" w:lineRule="auto"/>
              <w:jc w:val="left"/>
            </w:pPr>
            <w:r>
              <w:rPr>
                <w:b w:val="0"/>
                <w:color w:val="0B0B0B"/>
                <w:sz w:val="14"/>
              </w:rPr>
              <w:t>Rajasthan state discoms (Barmer)</w:t>
            </w:r>
          </w:p>
        </w:tc>
        <w:tc>
          <w:tcPr>
            <w:tcW w:type="dxa" w:w="1408"/>
          </w:tcPr>
          <w:p>
            <w:pPr>
              <w:spacing w:before="32" w:after="32" w:line="240" w:lineRule="auto"/>
              <w:jc w:val="right"/>
            </w:pPr>
            <w:r>
              <w:rPr>
                <w:b w:val="0"/>
                <w:color w:val="0B0B0B"/>
                <w:sz w:val="14"/>
              </w:rPr>
              <w:t>1,080</w:t>
            </w:r>
          </w:p>
        </w:tc>
        <w:tc>
          <w:tcPr>
            <w:tcW w:type="dxa" w:w="1877"/>
          </w:tcPr>
          <w:p>
            <w:pPr>
              <w:spacing w:before="32" w:after="32" w:line="240" w:lineRule="auto"/>
              <w:jc w:val="right"/>
            </w:pPr>
            <w:r>
              <w:rPr>
                <w:b w:val="0"/>
                <w:color w:val="0B0B0B"/>
                <w:sz w:val="14"/>
              </w:rPr>
              <w:t>Regulated cost-plus PPA</w:t>
            </w:r>
          </w:p>
        </w:tc>
        <w:tc>
          <w:tcPr>
            <w:tcW w:type="dxa" w:w="1290"/>
          </w:tcPr>
          <w:p>
            <w:pPr>
              <w:spacing w:before="32" w:after="32" w:line="240" w:lineRule="auto"/>
              <w:jc w:val="right"/>
            </w:pPr>
            <w:r>
              <w:rPr>
                <w:b w:val="0"/>
                <w:color w:val="0B0B0B"/>
                <w:sz w:val="14"/>
              </w:rPr>
              <w:t>30 years</w:t>
            </w:r>
          </w:p>
        </w:tc>
        <w:tc>
          <w:tcPr>
            <w:tcW w:type="dxa" w:w="2581"/>
          </w:tcPr>
          <w:p>
            <w:pPr>
              <w:spacing w:before="32" w:after="32" w:line="240" w:lineRule="auto"/>
              <w:jc w:val="right"/>
            </w:pPr>
            <w:r>
              <w:rPr>
                <w:b w:val="0"/>
                <w:color w:val="0B0B0B"/>
                <w:sz w:val="14"/>
              </w:rPr>
              <w:t>Customer — full pass-through at 15% RoE</w:t>
            </w:r>
          </w:p>
        </w:tc>
      </w:tr>
      <w:tr>
        <w:tc>
          <w:tcPr>
            <w:tcW w:type="dxa" w:w="3050"/>
            <w:shd w:val="clear" w:color="auto" w:fill="EEF3FA"/>
          </w:tcPr>
          <w:p>
            <w:pPr>
              <w:spacing w:before="32" w:after="32" w:line="240" w:lineRule="auto"/>
              <w:jc w:val="left"/>
            </w:pPr>
            <w:r>
              <w:rPr>
                <w:b w:val="0"/>
                <w:color w:val="0B0B0B"/>
                <w:sz w:val="14"/>
              </w:rPr>
              <w:t>Andhra Pradesh, Tamil Nadu, Uttar Pradesh (KSK)</w:t>
            </w:r>
          </w:p>
        </w:tc>
        <w:tc>
          <w:tcPr>
            <w:tcW w:type="dxa" w:w="1408"/>
            <w:shd w:val="clear" w:color="auto" w:fill="EEF3FA"/>
          </w:tcPr>
          <w:p>
            <w:pPr>
              <w:spacing w:before="32" w:after="32" w:line="240" w:lineRule="auto"/>
              <w:jc w:val="right"/>
            </w:pPr>
            <w:r>
              <w:rPr>
                <w:b w:val="0"/>
                <w:color w:val="0B0B0B"/>
                <w:sz w:val="14"/>
              </w:rPr>
              <w:t>~1,710 (95% of 1,800)</w:t>
            </w:r>
          </w:p>
        </w:tc>
        <w:tc>
          <w:tcPr>
            <w:tcW w:type="dxa" w:w="1877"/>
            <w:shd w:val="clear" w:color="auto" w:fill="EEF3FA"/>
          </w:tcPr>
          <w:p>
            <w:pPr>
              <w:spacing w:before="32" w:after="32" w:line="240" w:lineRule="auto"/>
              <w:jc w:val="right"/>
            </w:pPr>
            <w:r>
              <w:rPr>
                <w:b w:val="0"/>
                <w:color w:val="0B0B0B"/>
                <w:sz w:val="14"/>
              </w:rPr>
              <w:t>Competitively-bid PPA</w:t>
            </w:r>
          </w:p>
        </w:tc>
        <w:tc>
          <w:tcPr>
            <w:tcW w:type="dxa" w:w="1290"/>
            <w:shd w:val="clear" w:color="auto" w:fill="EEF3FA"/>
          </w:tcPr>
          <w:p>
            <w:pPr>
              <w:spacing w:before="32" w:after="32" w:line="240" w:lineRule="auto"/>
              <w:jc w:val="right"/>
            </w:pPr>
            <w:r>
              <w:rPr>
                <w:b w:val="0"/>
                <w:color w:val="0B0B0B"/>
                <w:sz w:val="14"/>
              </w:rPr>
              <w:t>Long-term</w:t>
            </w:r>
          </w:p>
        </w:tc>
        <w:tc>
          <w:tcPr>
            <w:tcW w:type="dxa" w:w="2581"/>
            <w:shd w:val="clear" w:color="auto" w:fill="EEF3FA"/>
          </w:tcPr>
          <w:p>
            <w:pPr>
              <w:spacing w:before="32" w:after="32" w:line="240" w:lineRule="auto"/>
              <w:jc w:val="right"/>
            </w:pPr>
            <w:r>
              <w:rPr>
                <w:b w:val="0"/>
                <w:color w:val="0B0B0B"/>
                <w:sz w:val="14"/>
              </w:rPr>
              <w:t>Largely JSW — bid tariff</w:t>
            </w:r>
          </w:p>
        </w:tc>
      </w:tr>
      <w:tr>
        <w:tc>
          <w:tcPr>
            <w:tcW w:type="dxa" w:w="3050"/>
          </w:tcPr>
          <w:p>
            <w:pPr>
              <w:spacing w:before="32" w:after="32" w:line="240" w:lineRule="auto"/>
              <w:jc w:val="left"/>
            </w:pPr>
            <w:r>
              <w:rPr>
                <w:b w:val="0"/>
                <w:color w:val="0B0B0B"/>
                <w:sz w:val="14"/>
              </w:rPr>
              <w:t>JSW group captive (Steel, Cement, Paints, Severfield, Epsilon)</w:t>
            </w:r>
          </w:p>
        </w:tc>
        <w:tc>
          <w:tcPr>
            <w:tcW w:type="dxa" w:w="1408"/>
          </w:tcPr>
          <w:p>
            <w:pPr>
              <w:spacing w:before="32" w:after="32" w:line="240" w:lineRule="auto"/>
              <w:jc w:val="right"/>
            </w:pPr>
            <w:r>
              <w:rPr>
                <w:b w:val="0"/>
                <w:color w:val="0B0B0B"/>
                <w:sz w:val="14"/>
              </w:rPr>
              <w:t>~1,730</w:t>
            </w:r>
          </w:p>
        </w:tc>
        <w:tc>
          <w:tcPr>
            <w:tcW w:type="dxa" w:w="1877"/>
          </w:tcPr>
          <w:p>
            <w:pPr>
              <w:spacing w:before="32" w:after="32" w:line="240" w:lineRule="auto"/>
              <w:jc w:val="right"/>
            </w:pPr>
            <w:r>
              <w:rPr>
                <w:b w:val="0"/>
                <w:color w:val="0B0B0B"/>
                <w:sz w:val="14"/>
              </w:rPr>
              <w:t>Group captive PPA</w:t>
            </w:r>
          </w:p>
        </w:tc>
        <w:tc>
          <w:tcPr>
            <w:tcW w:type="dxa" w:w="1290"/>
          </w:tcPr>
          <w:p>
            <w:pPr>
              <w:spacing w:before="32" w:after="32" w:line="240" w:lineRule="auto"/>
              <w:jc w:val="right"/>
            </w:pPr>
            <w:r>
              <w:rPr>
                <w:b w:val="0"/>
                <w:color w:val="0B0B0B"/>
                <w:sz w:val="14"/>
              </w:rPr>
              <w:t>Rolling</w:t>
            </w:r>
          </w:p>
        </w:tc>
        <w:tc>
          <w:tcPr>
            <w:tcW w:type="dxa" w:w="2581"/>
          </w:tcPr>
          <w:p>
            <w:pPr>
              <w:spacing w:before="32" w:after="32" w:line="240" w:lineRule="auto"/>
              <w:jc w:val="right"/>
            </w:pPr>
            <w:r>
              <w:rPr>
                <w:b w:val="0"/>
                <w:color w:val="0B0B0B"/>
                <w:sz w:val="14"/>
              </w:rPr>
              <w:t>Passed through at Vijayanagar; related party</w:t>
            </w:r>
          </w:p>
        </w:tc>
      </w:tr>
      <w:tr>
        <w:tc>
          <w:tcPr>
            <w:tcW w:type="dxa" w:w="3050"/>
            <w:shd w:val="clear" w:color="auto" w:fill="EEF3FA"/>
          </w:tcPr>
          <w:p>
            <w:pPr>
              <w:spacing w:before="32" w:after="32" w:line="240" w:lineRule="auto"/>
              <w:jc w:val="left"/>
            </w:pPr>
            <w:r>
              <w:rPr>
                <w:b w:val="0"/>
                <w:color w:val="0B0B0B"/>
                <w:sz w:val="14"/>
              </w:rPr>
              <w:t>Haryana, UP, Punjab, Rajasthan via PTC (hydro)</w:t>
            </w:r>
          </w:p>
        </w:tc>
        <w:tc>
          <w:tcPr>
            <w:tcW w:type="dxa" w:w="1408"/>
            <w:shd w:val="clear" w:color="auto" w:fill="EEF3FA"/>
          </w:tcPr>
          <w:p>
            <w:pPr>
              <w:spacing w:before="32" w:after="32" w:line="240" w:lineRule="auto"/>
              <w:jc w:val="right"/>
            </w:pPr>
            <w:r>
              <w:rPr>
                <w:b w:val="0"/>
                <w:color w:val="0B0B0B"/>
                <w:sz w:val="14"/>
              </w:rPr>
              <w:t>880</w:t>
            </w:r>
          </w:p>
        </w:tc>
        <w:tc>
          <w:tcPr>
            <w:tcW w:type="dxa" w:w="1877"/>
            <w:shd w:val="clear" w:color="auto" w:fill="EEF3FA"/>
          </w:tcPr>
          <w:p>
            <w:pPr>
              <w:spacing w:before="32" w:after="32" w:line="240" w:lineRule="auto"/>
              <w:jc w:val="right"/>
            </w:pPr>
            <w:r>
              <w:rPr>
                <w:b w:val="0"/>
                <w:color w:val="0B0B0B"/>
                <w:sz w:val="14"/>
              </w:rPr>
              <w:t>Long-term hydro PPA</w:t>
            </w:r>
          </w:p>
        </w:tc>
        <w:tc>
          <w:tcPr>
            <w:tcW w:type="dxa" w:w="1290"/>
            <w:shd w:val="clear" w:color="auto" w:fill="EEF3FA"/>
          </w:tcPr>
          <w:p>
            <w:pPr>
              <w:spacing w:before="32" w:after="32" w:line="240" w:lineRule="auto"/>
              <w:jc w:val="right"/>
            </w:pPr>
            <w:r>
              <w:rPr>
                <w:b w:val="0"/>
                <w:color w:val="0B0B0B"/>
                <w:sz w:val="14"/>
              </w:rPr>
              <w:t>To 2043 / 2046</w:t>
            </w:r>
          </w:p>
        </w:tc>
        <w:tc>
          <w:tcPr>
            <w:tcW w:type="dxa" w:w="2581"/>
            <w:shd w:val="clear" w:color="auto" w:fill="EEF3FA"/>
          </w:tcPr>
          <w:p>
            <w:pPr>
              <w:spacing w:before="32" w:after="32" w:line="240" w:lineRule="auto"/>
              <w:jc w:val="right"/>
            </w:pPr>
            <w:r>
              <w:rPr>
                <w:b w:val="0"/>
                <w:color w:val="0B0B0B"/>
                <w:sz w:val="14"/>
              </w:rPr>
              <w:t>No fuel cost</w:t>
            </w:r>
          </w:p>
        </w:tc>
      </w:tr>
      <w:tr>
        <w:tc>
          <w:tcPr>
            <w:tcW w:type="dxa" w:w="3050"/>
          </w:tcPr>
          <w:p>
            <w:pPr>
              <w:spacing w:before="32" w:after="32" w:line="240" w:lineRule="auto"/>
              <w:jc w:val="left"/>
            </w:pPr>
            <w:r>
              <w:rPr>
                <w:b w:val="0"/>
                <w:color w:val="0B0B0B"/>
                <w:sz w:val="14"/>
              </w:rPr>
              <w:t>Haryana (Kutehr)</w:t>
            </w:r>
          </w:p>
        </w:tc>
        <w:tc>
          <w:tcPr>
            <w:tcW w:type="dxa" w:w="1408"/>
          </w:tcPr>
          <w:p>
            <w:pPr>
              <w:spacing w:before="32" w:after="32" w:line="240" w:lineRule="auto"/>
              <w:jc w:val="right"/>
            </w:pPr>
            <w:r>
              <w:rPr>
                <w:b w:val="0"/>
                <w:color w:val="0B0B0B"/>
                <w:sz w:val="14"/>
              </w:rPr>
              <w:t>240</w:t>
            </w:r>
          </w:p>
        </w:tc>
        <w:tc>
          <w:tcPr>
            <w:tcW w:type="dxa" w:w="1877"/>
          </w:tcPr>
          <w:p>
            <w:pPr>
              <w:spacing w:before="32" w:after="32" w:line="240" w:lineRule="auto"/>
              <w:jc w:val="right"/>
            </w:pPr>
            <w:r>
              <w:rPr>
                <w:b w:val="0"/>
                <w:color w:val="0B0B0B"/>
                <w:sz w:val="14"/>
              </w:rPr>
              <w:t>Fixed-tariff PPA at Rs.4.45/unit</w:t>
            </w:r>
          </w:p>
        </w:tc>
        <w:tc>
          <w:tcPr>
            <w:tcW w:type="dxa" w:w="1290"/>
          </w:tcPr>
          <w:p>
            <w:pPr>
              <w:spacing w:before="32" w:after="32" w:line="240" w:lineRule="auto"/>
              <w:jc w:val="right"/>
            </w:pPr>
            <w:r>
              <w:rPr>
                <w:b w:val="0"/>
                <w:color w:val="0B0B0B"/>
                <w:sz w:val="14"/>
              </w:rPr>
              <w:t>35 + 35 years</w:t>
            </w:r>
          </w:p>
        </w:tc>
        <w:tc>
          <w:tcPr>
            <w:tcW w:type="dxa" w:w="2581"/>
          </w:tcPr>
          <w:p>
            <w:pPr>
              <w:spacing w:before="32" w:after="32" w:line="240" w:lineRule="auto"/>
              <w:jc w:val="right"/>
            </w:pPr>
            <w:r>
              <w:rPr>
                <w:b w:val="0"/>
                <w:color w:val="0B0B0B"/>
                <w:sz w:val="14"/>
              </w:rPr>
              <w:t>No fuel cost</w:t>
            </w:r>
          </w:p>
        </w:tc>
      </w:tr>
      <w:tr>
        <w:tc>
          <w:tcPr>
            <w:tcW w:type="dxa" w:w="3050"/>
            <w:shd w:val="clear" w:color="auto" w:fill="EEF3FA"/>
          </w:tcPr>
          <w:p>
            <w:pPr>
              <w:spacing w:before="32" w:after="32" w:line="240" w:lineRule="auto"/>
              <w:jc w:val="left"/>
            </w:pPr>
            <w:r>
              <w:rPr>
                <w:b w:val="0"/>
                <w:color w:val="0B0B0B"/>
                <w:sz w:val="14"/>
              </w:rPr>
              <w:t>MSEDCL (Ratnagiri)</w:t>
            </w:r>
          </w:p>
        </w:tc>
        <w:tc>
          <w:tcPr>
            <w:tcW w:type="dxa" w:w="1408"/>
            <w:shd w:val="clear" w:color="auto" w:fill="EEF3FA"/>
          </w:tcPr>
          <w:p>
            <w:pPr>
              <w:spacing w:before="32" w:after="32" w:line="240" w:lineRule="auto"/>
              <w:jc w:val="right"/>
            </w:pPr>
            <w:r>
              <w:rPr>
                <w:b w:val="0"/>
                <w:color w:val="0B0B0B"/>
                <w:sz w:val="14"/>
              </w:rPr>
              <w:t>300</w:t>
            </w:r>
          </w:p>
        </w:tc>
        <w:tc>
          <w:tcPr>
            <w:tcW w:type="dxa" w:w="1877"/>
            <w:shd w:val="clear" w:color="auto" w:fill="EEF3FA"/>
          </w:tcPr>
          <w:p>
            <w:pPr>
              <w:spacing w:before="32" w:after="32" w:line="240" w:lineRule="auto"/>
              <w:jc w:val="right"/>
            </w:pPr>
            <w:r>
              <w:rPr>
                <w:b w:val="0"/>
                <w:color w:val="0B0B0B"/>
                <w:sz w:val="14"/>
              </w:rPr>
              <w:t>PPA on escalable-cost basis</w:t>
            </w:r>
          </w:p>
        </w:tc>
        <w:tc>
          <w:tcPr>
            <w:tcW w:type="dxa" w:w="1290"/>
            <w:shd w:val="clear" w:color="auto" w:fill="EEF3FA"/>
          </w:tcPr>
          <w:p>
            <w:pPr>
              <w:spacing w:before="32" w:after="32" w:line="240" w:lineRule="auto"/>
              <w:jc w:val="right"/>
            </w:pPr>
            <w:r>
              <w:rPr>
                <w:b w:val="0"/>
                <w:color w:val="0B0B0B"/>
                <w:sz w:val="14"/>
              </w:rPr>
              <w:t>25 years</w:t>
            </w:r>
          </w:p>
        </w:tc>
        <w:tc>
          <w:tcPr>
            <w:tcW w:type="dxa" w:w="2581"/>
            <w:shd w:val="clear" w:color="auto" w:fill="EEF3FA"/>
          </w:tcPr>
          <w:p>
            <w:pPr>
              <w:spacing w:before="32" w:after="32" w:line="240" w:lineRule="auto"/>
              <w:jc w:val="right"/>
            </w:pPr>
            <w:r>
              <w:rPr>
                <w:b w:val="0"/>
                <w:color w:val="0B0B0B"/>
                <w:sz w:val="14"/>
              </w:rPr>
              <w:t>Partly JSW — tariff is not firm for the full term</w:t>
            </w:r>
          </w:p>
        </w:tc>
      </w:tr>
      <w:tr>
        <w:tc>
          <w:tcPr>
            <w:tcW w:type="dxa" w:w="3050"/>
          </w:tcPr>
          <w:p>
            <w:pPr>
              <w:spacing w:before="32" w:after="32" w:line="240" w:lineRule="auto"/>
              <w:jc w:val="left"/>
            </w:pPr>
            <w:r>
              <w:rPr>
                <w:b w:val="0"/>
                <w:color w:val="0B0B0B"/>
                <w:sz w:val="14"/>
              </w:rPr>
              <w:t>SECI, NTPC, SJVN, GUVNL and state RE tenders</w:t>
            </w:r>
          </w:p>
        </w:tc>
        <w:tc>
          <w:tcPr>
            <w:tcW w:type="dxa" w:w="1408"/>
          </w:tcPr>
          <w:p>
            <w:pPr>
              <w:spacing w:before="32" w:after="32" w:line="240" w:lineRule="auto"/>
              <w:jc w:val="right"/>
            </w:pPr>
            <w:r>
              <w:rPr>
                <w:b w:val="0"/>
                <w:color w:val="0B0B0B"/>
                <w:sz w:val="14"/>
              </w:rPr>
              <w:t>growing to ~18,300 by FY30E</w:t>
            </w:r>
          </w:p>
        </w:tc>
        <w:tc>
          <w:tcPr>
            <w:tcW w:type="dxa" w:w="1877"/>
          </w:tcPr>
          <w:p>
            <w:pPr>
              <w:spacing w:before="32" w:after="32" w:line="240" w:lineRule="auto"/>
              <w:jc w:val="right"/>
            </w:pPr>
            <w:r>
              <w:rPr>
                <w:b w:val="0"/>
                <w:color w:val="0B0B0B"/>
                <w:sz w:val="14"/>
              </w:rPr>
              <w:t>25-year fixed-tariff PPA</w:t>
            </w:r>
          </w:p>
        </w:tc>
        <w:tc>
          <w:tcPr>
            <w:tcW w:type="dxa" w:w="1290"/>
          </w:tcPr>
          <w:p>
            <w:pPr>
              <w:spacing w:before="32" w:after="32" w:line="240" w:lineRule="auto"/>
              <w:jc w:val="right"/>
            </w:pPr>
            <w:r>
              <w:rPr>
                <w:b w:val="0"/>
                <w:color w:val="0B0B0B"/>
                <w:sz w:val="14"/>
              </w:rPr>
              <w:t>25 years</w:t>
            </w:r>
          </w:p>
        </w:tc>
        <w:tc>
          <w:tcPr>
            <w:tcW w:type="dxa" w:w="2581"/>
          </w:tcPr>
          <w:p>
            <w:pPr>
              <w:spacing w:before="32" w:after="32" w:line="240" w:lineRule="auto"/>
              <w:jc w:val="right"/>
            </w:pPr>
            <w:r>
              <w:rPr>
                <w:b w:val="0"/>
                <w:color w:val="0B0B0B"/>
                <w:sz w:val="14"/>
              </w:rPr>
              <w:t>No fuel cost</w:t>
            </w:r>
          </w:p>
        </w:tc>
      </w:tr>
      <w:tr>
        <w:tc>
          <w:tcPr>
            <w:tcW w:type="dxa" w:w="3050"/>
            <w:shd w:val="clear" w:color="auto" w:fill="EEF3FA"/>
          </w:tcPr>
          <w:p>
            <w:pPr>
              <w:spacing w:before="32" w:after="32" w:line="240" w:lineRule="auto"/>
              <w:jc w:val="left"/>
            </w:pPr>
            <w:r>
              <w:rPr>
                <w:b w:val="0"/>
                <w:color w:val="0B0B0B"/>
                <w:sz w:val="14"/>
              </w:rPr>
              <w:t>Merchant / power exchange</w:t>
            </w:r>
          </w:p>
        </w:tc>
        <w:tc>
          <w:tcPr>
            <w:tcW w:type="dxa" w:w="1408"/>
            <w:shd w:val="clear" w:color="auto" w:fill="EEF3FA"/>
          </w:tcPr>
          <w:p>
            <w:pPr>
              <w:spacing w:before="32" w:after="32" w:line="240" w:lineRule="auto"/>
              <w:jc w:val="right"/>
            </w:pPr>
            <w:r>
              <w:rPr>
                <w:b w:val="0"/>
                <w:color w:val="0B0B0B"/>
                <w:sz w:val="14"/>
              </w:rPr>
              <w:t>~13% of 1QFY27 sales</w:t>
            </w:r>
          </w:p>
        </w:tc>
        <w:tc>
          <w:tcPr>
            <w:tcW w:type="dxa" w:w="1877"/>
            <w:shd w:val="clear" w:color="auto" w:fill="EEF3FA"/>
          </w:tcPr>
          <w:p>
            <w:pPr>
              <w:spacing w:before="32" w:after="32" w:line="240" w:lineRule="auto"/>
              <w:jc w:val="right"/>
            </w:pPr>
            <w:r>
              <w:rPr>
                <w:b w:val="0"/>
                <w:color w:val="0B0B0B"/>
                <w:sz w:val="14"/>
              </w:rPr>
              <w:t>Spot</w:t>
            </w:r>
          </w:p>
        </w:tc>
        <w:tc>
          <w:tcPr>
            <w:tcW w:type="dxa" w:w="1290"/>
            <w:shd w:val="clear" w:color="auto" w:fill="EEF3FA"/>
          </w:tcPr>
          <w:p>
            <w:pPr>
              <w:spacing w:before="32" w:after="32" w:line="240" w:lineRule="auto"/>
              <w:jc w:val="right"/>
            </w:pPr>
            <w:r>
              <w:rPr>
                <w:b w:val="0"/>
                <w:color w:val="0B0B0B"/>
                <w:sz w:val="14"/>
              </w:rPr>
              <w:t>None</w:t>
            </w:r>
          </w:p>
        </w:tc>
        <w:tc>
          <w:tcPr>
            <w:tcW w:type="dxa" w:w="2581"/>
            <w:shd w:val="clear" w:color="auto" w:fill="EEF3FA"/>
          </w:tcPr>
          <w:p>
            <w:pPr>
              <w:spacing w:before="32" w:after="32" w:line="240" w:lineRule="auto"/>
              <w:jc w:val="right"/>
            </w:pPr>
            <w:r>
              <w:rPr>
                <w:b w:val="0"/>
                <w:color w:val="0B0B0B"/>
                <w:sz w:val="14"/>
              </w:rPr>
              <w:t>JSW — full price and volume risk</w:t>
            </w:r>
          </w:p>
        </w:tc>
      </w:tr>
      <w:tr>
        <w:tc>
          <w:tcPr>
            <w:tcW w:type="dxa" w:w="3050"/>
          </w:tcPr>
          <w:p>
            <w:pPr>
              <w:spacing w:before="32" w:after="32" w:line="240" w:lineRule="auto"/>
              <w:jc w:val="left"/>
            </w:pPr>
            <w:r>
              <w:rPr>
                <w:b w:val="0"/>
                <w:color w:val="0B0B0B"/>
                <w:sz w:val="14"/>
              </w:rPr>
              <w:t>Ind-Barath (Utkal)</w:t>
            </w:r>
          </w:p>
        </w:tc>
        <w:tc>
          <w:tcPr>
            <w:tcW w:type="dxa" w:w="1408"/>
          </w:tcPr>
          <w:p>
            <w:pPr>
              <w:spacing w:before="32" w:after="32" w:line="240" w:lineRule="auto"/>
              <w:jc w:val="right"/>
            </w:pPr>
            <w:r>
              <w:rPr>
                <w:b w:val="0"/>
                <w:color w:val="0B0B0B"/>
                <w:sz w:val="14"/>
              </w:rPr>
              <w:t>400 + 115</w:t>
            </w:r>
          </w:p>
        </w:tc>
        <w:tc>
          <w:tcPr>
            <w:tcW w:type="dxa" w:w="1877"/>
          </w:tcPr>
          <w:p>
            <w:pPr>
              <w:spacing w:before="32" w:after="32" w:line="240" w:lineRule="auto"/>
              <w:jc w:val="right"/>
            </w:pPr>
            <w:r>
              <w:rPr>
                <w:b w:val="0"/>
                <w:color w:val="0B0B0B"/>
                <w:sz w:val="14"/>
              </w:rPr>
              <w:t>25-yr PPA at Rs.5.78/unit; 2-yr Assam PPA</w:t>
            </w:r>
          </w:p>
        </w:tc>
        <w:tc>
          <w:tcPr>
            <w:tcW w:type="dxa" w:w="1290"/>
          </w:tcPr>
          <w:p>
            <w:pPr>
              <w:spacing w:before="32" w:after="32" w:line="240" w:lineRule="auto"/>
              <w:jc w:val="right"/>
            </w:pPr>
            <w:r>
              <w:rPr>
                <w:b w:val="0"/>
                <w:color w:val="0B0B0B"/>
                <w:sz w:val="14"/>
              </w:rPr>
              <w:t>25 years / 2 years</w:t>
            </w:r>
          </w:p>
        </w:tc>
        <w:tc>
          <w:tcPr>
            <w:tcW w:type="dxa" w:w="2581"/>
          </w:tcPr>
          <w:p>
            <w:pPr>
              <w:spacing w:before="32" w:after="32" w:line="240" w:lineRule="auto"/>
              <w:jc w:val="right"/>
            </w:pPr>
            <w:r>
              <w:rPr>
                <w:b w:val="0"/>
                <w:color w:val="0B0B0B"/>
                <w:sz w:val="14"/>
              </w:rPr>
              <w:t>Largely JSW — bid tariff</w:t>
            </w:r>
          </w:p>
        </w:tc>
      </w:tr>
    </w:tbl>
    <w:p>
      <w:pPr>
        <w:spacing w:before="40" w:after="120"/>
      </w:pPr>
      <w:r>
        <w:rPr>
          <w:b w:val="0"/>
          <w:i/>
          <w:color w:val="8A8880"/>
          <w:sz w:val="14"/>
        </w:rPr>
        <w:t>Source: analyst model (Key sheet), FY26 annual report, Q4FY26 and Q1FY27 calls. The company does not publish a top-5 or top-10 split, but note 46 of the FY26 consolidated accounts discloses that one customer accounted for Rs.1,956.70cr of revenue — 10.4% of the total (FY25A: one customer, Rs.1,238.79cr, 10.5%) — and names JSW Steel and state distribution companies as the major customers.</w:t>
      </w:r>
    </w:p>
    <w:p>
      <w:pPr>
        <w:spacing w:before="0" w:after="100"/>
      </w:pPr>
      <w:r>
        <w:rPr>
          <w:b w:val="0"/>
          <w:i w:val="0"/>
          <w:color w:val="0B0B0B"/>
          <w:sz w:val="17"/>
        </w:rPr>
        <w:t>Revenue visibility improved materially during FY26 and this is the single most under-appreciated fact in the story. Ind-Barath, which we would previously have described as an uncontracted merchant plant, signed a 25-year PPA for 400MW at Rs.5.78/unit and a two-year 115MW arrangement with the Assam discom effective 1 April 2026. Management now puts open, untied capacity at about 5% of the installed base, and states there is no open capacity at all in the solar portfolio. The 14GW under construction is fully tied under long-term PPAs. What remains merchant is predominantly domestic-coal thermal sited close to mines, which keeps the merchant breakeven low: FY26A merchant realisations ran at a 20%-plus premium to the exchange average of Rs.3.86/unit, achieved through bilateral back-to-back short-term contracts rather than spot selling.</w:t>
      </w:r>
    </w:p>
    <w:p>
      <w:pPr>
        <w:spacing w:before="0" w:after="100"/>
      </w:pPr>
      <w:r>
        <w:rPr>
          <w:b w:val="0"/>
          <w:i w:val="0"/>
          <w:color w:val="0B0B0B"/>
          <w:sz w:val="17"/>
        </w:rPr>
        <w:t>Two qualifications remain. Concentration is real and now quantified: one customer took Rs.1,956.70cr of FY26A revenue, 10.4% of the total. And related-party sales are structural — power sold to JSW Steel (Rs.743.90cr), JSW Cement (Rs.30.85cr), JSW Paints, Severfield, Epsilon Carbon, Jindal Saw and JSW Jaigarh Port totalled roughly Rs.804cr, about 4.3% of revenue. That is smaller than the ~1,730MW of group captive capacity would suggest, because much of the captive arrangement is billed as job-work generation (Rs.1,214.85cr in FY26A) rather than as a power sale.</w:t>
      </w:r>
    </w:p>
    <w:p>
      <w:pPr>
        <w:spacing w:before="0" w:after="100"/>
      </w:pPr>
      <w:r>
        <w:rPr>
          <w:b w:val="0"/>
          <w:i w:val="0"/>
          <w:color w:val="0B0B0B"/>
          <w:sz w:val="17"/>
        </w:rPr>
        <w:t>One disclosure conflict is worth naming and is now resolved. The Q1FY27 commentary in the model records receivable days of 'zero versus 58 days year-on-year', which is a data error. Management's own figure is total receivables of Rs.3,240cr at 31 March 2026, or 62 debtor days, improved from 76 days a year earlier. The model's balance sheet carries a narrower Rs.2,973cr of trade receivables (57 days). We use the company's 62 days as the reported measure and the model's balance for the ratio tables in Section 17, and flag the Rs.267cr difference as definitional.</w:t>
      </w:r>
    </w:p>
    <w:p>
      <w:r>
        <w:br w:type="page"/>
      </w:r>
    </w:p>
    <w:p>
      <w:pPr>
        <w:keepNext/>
        <w:pBdr>
          <w:bottom w:val="single" w:sz="8" w:space="3" w:color="1F3864"/>
        </w:pBdr>
        <w:spacing w:before="240" w:after="40"/>
      </w:pPr>
      <w:r>
        <w:rPr>
          <w:b/>
          <w:color w:val="1F3864"/>
          <w:sz w:val="24"/>
        </w:rPr>
        <w:t>PART B — THE MARKET</w:t>
      </w:r>
    </w:p>
    <w:p>
      <w:pPr>
        <w:keepNext/>
        <w:spacing w:before="180" w:after="40"/>
      </w:pPr>
      <w:r>
        <w:rPr>
          <w:b/>
          <w:color w:val="1F3864"/>
          <w:sz w:val="21"/>
        </w:rPr>
        <w:t>9.  Industry Overview and Industry Growth Drivers</w:t>
      </w:r>
    </w:p>
    <w:p>
      <w:pPr>
        <w:spacing w:before="0" w:after="100"/>
      </w:pPr>
      <w:r>
        <w:rPr>
          <w:b w:val="0"/>
          <w:i w:val="0"/>
          <w:color w:val="0B0B0B"/>
          <w:sz w:val="17"/>
        </w:rPr>
        <w:t>The market JSW Energy actually sells into is Indian utility-scale electricity generation. India's installed generating capacity reached about 533GW at 31 March 2026, of which 283.5GW — 53% — is non-fossil, including 274.7GW of renewables and 8.8GW of nuclear. JSW Energy's 14,535MW at June 2026 is roughly 2.7% of national capacity.</w:t>
      </w:r>
    </w:p>
    <w:p>
      <w:pPr>
        <w:spacing w:before="0" w:after="100"/>
      </w:pPr>
      <w:r>
        <w:rPr>
          <w:b w:val="0"/>
          <w:i w:val="0"/>
          <w:color w:val="0B0B0B"/>
          <w:sz w:val="17"/>
        </w:rPr>
        <w:t>The structural growth drivers, separated into those already visible in reported numbers and those still prospective:</w:t>
      </w:r>
    </w:p>
    <w:p>
      <w:pPr>
        <w:pStyle w:val="ListBullet"/>
        <w:spacing w:after="50" w:line="252" w:lineRule="auto"/>
        <w:ind w:left="312"/>
      </w:pPr>
      <w:r>
        <w:rPr>
          <w:b/>
          <w:color w:val="0B0B0B"/>
          <w:sz w:val="17"/>
        </w:rPr>
        <w:t xml:space="preserve">Visible now — renewable share gain. </w:t>
      </w:r>
      <w:r>
        <w:rPr>
          <w:color w:val="0B0B0B"/>
          <w:sz w:val="17"/>
        </w:rPr>
        <w:t>India added 64.9GW of capacity in FY26, of which renewables were 50.9GW — 78% of all additions — and non-fossil crossed 50% of installed capacity for the first time. Renewables are taking share, not riding demand.</w:t>
      </w:r>
    </w:p>
    <w:p>
      <w:pPr>
        <w:pStyle w:val="ListBullet"/>
        <w:spacing w:after="50" w:line="252" w:lineRule="auto"/>
        <w:ind w:left="312"/>
      </w:pPr>
      <w:r>
        <w:rPr>
          <w:b/>
          <w:color w:val="0B0B0B"/>
          <w:sz w:val="17"/>
        </w:rPr>
        <w:t xml:space="preserve">Visible now — the policy mandate. </w:t>
      </w:r>
      <w:r>
        <w:rPr>
          <w:color w:val="0B0B0B"/>
          <w:sz w:val="17"/>
        </w:rPr>
        <w:t>India's stated target is 500GW of non-fossil capacity by 2030, requiring roughly 54GW of additions a year from a 283.5GW base. The tender pipeline from SECI, NTPC, SJVN and the state utilities is the mechanism, and JSW Energy's forward capacity is won through it.</w:t>
      </w:r>
    </w:p>
    <w:p>
      <w:pPr>
        <w:pStyle w:val="ListBullet"/>
        <w:spacing w:after="50" w:line="252" w:lineRule="auto"/>
        <w:ind w:left="312"/>
      </w:pPr>
      <w:r>
        <w:rPr>
          <w:b/>
          <w:color w:val="0B0B0B"/>
          <w:sz w:val="17"/>
        </w:rPr>
        <w:t xml:space="preserve">Prospective — the storage premium. </w:t>
      </w:r>
      <w:r>
        <w:rPr>
          <w:color w:val="0B0B0B"/>
          <w:sz w:val="17"/>
        </w:rPr>
        <w:t>Firm and dispatchable renewable tenders (FDRE, hybrid, RTC) and standalone storage now carry materially better tariffs than plain solar, because the grid needs shaped power. JSW's shift into hybrid (451MW at FY26A to 4,798MW by FY30E) and 3,000MW of BESS plus 3,300MW of pumped storage is a direct response.</w:t>
      </w:r>
    </w:p>
    <w:p>
      <w:pPr>
        <w:pStyle w:val="ListBullet"/>
        <w:spacing w:after="50" w:line="252" w:lineRule="auto"/>
        <w:ind w:left="312"/>
      </w:pPr>
      <w:r>
        <w:rPr>
          <w:b/>
          <w:color w:val="0B0B0B"/>
          <w:sz w:val="17"/>
        </w:rPr>
        <w:t xml:space="preserve">Prospective — thermal utilisation recovery. </w:t>
      </w:r>
      <w:r>
        <w:rPr>
          <w:color w:val="0B0B0B"/>
          <w:sz w:val="17"/>
        </w:rPr>
        <w:t>Thermal PLFs across the fleet sit at 67–78%. There is headroom, but utilisation depends on discom offtake discipline and on merchant prices, both of which are cyclical and currently soft.</w:t>
      </w:r>
    </w:p>
    <w:p>
      <w:pPr>
        <w:spacing w:before="0" w:after="100"/>
      </w:pPr>
      <w:r>
        <w:rPr>
          <w:b w:val="0"/>
          <w:i w:val="0"/>
          <w:color w:val="0B0B0B"/>
          <w:sz w:val="17"/>
        </w:rPr>
        <w:t>Where we sit in the cycle, and the tension in the story. National power demand grew just 0.9% in FY26 — the weakest in five years, on an extended monsoon — against 50.9GW of renewable capacity added in the same year. That combination is the classic setup for curtailment and merchant tariff compression, and it showed up in a soft FY26 exchange average of Rs.3.86/unit. Demand has since recovered: Q4FY26 grew 2.2% and FY27 year-to-date is running at 4.6%, with peak demand of 256GW already reached on 25 April 2026 against a system positioned for roughly 270GW this summer. Management and the CEA both point to a 5–6% medium-term demand CAGR. The binding constraint is not demand but evacuation: against a plan of 15,000 circuit-km of transmission last year, only 9,500 circuit-km were delivered, and management expects the bottleneck to persist until about 2029. For a company whose entire forecast growth is renewable capacity, that is the single most important sector fact in this note.</w:t>
      </w:r>
    </w:p>
    <w:p>
      <w:pPr>
        <w:spacing w:before="0" w:after="100"/>
      </w:pPr>
      <w:r>
        <w:rPr>
          <w:b w:val="0"/>
          <w:i w:val="0"/>
          <w:color w:val="0B0B0B"/>
          <w:sz w:val="17"/>
        </w:rPr>
        <w:t>One regulatory change is worth pricing in. The CERC's revised Deviation Settlement Mechanism, if implemented as drafted, would cost JSW roughly 1.5–2% of renewable revenue on management's own worst-case estimate — that is an increase from a non-zero base, not a new charge, and it would be reduced if the industry secures substation-level grouping of settlement rather than plant-level. About 1GW of operational group-captive capacity is off-grid and insulated from it entirely.</w:t>
      </w:r>
    </w:p>
    <w:p>
      <w:pPr>
        <w:spacing w:before="0" w:after="100"/>
      </w:pPr>
      <w:r>
        <w:rPr>
          <w:b w:val="0"/>
          <w:i w:val="0"/>
          <w:color w:val="0B0B0B"/>
          <w:sz w:val="17"/>
        </w:rPr>
        <w:t>The demand-side counterparty is dominated by state distribution companies and central intermediaries (SECI, NTPC, SJVN). Their financial health determines payment cycles and their tender calendar determines the growth rate. This is a sovereign-adjacent, policy-driven revenue base — low credit risk in practice, but with tariff-setting power concentrated in a handful of buyers.</w:t>
      </w:r>
    </w:p>
    <w:p>
      <w:pPr>
        <w:keepNext/>
        <w:spacing w:before="180" w:after="40"/>
      </w:pPr>
      <w:r>
        <w:rPr>
          <w:b/>
          <w:color w:val="1F3864"/>
          <w:sz w:val="21"/>
        </w:rPr>
        <w:t>10.  Competitive Landscape and Market Position</w:t>
      </w:r>
    </w:p>
    <w:p>
      <w:pPr>
        <w:spacing w:before="0" w:after="100"/>
      </w:pPr>
      <w:r>
        <w:rPr>
          <w:b w:val="0"/>
          <w:i w:val="0"/>
          <w:color w:val="0B0B0B"/>
          <w:sz w:val="17"/>
        </w:rPr>
        <w:t>JSW Energy competes in two distinct markets. In thermal it competes with NTPC, Adani Power, Tata Power and the state generators for PPAs and for distressed assets; the basis of competition is tariff and balance sheet, and JSW has recently competed mainly as a buyer of stressed capacity rather than a greenfield builder. In renewables it competes in reverse auctions against Adani Green, NTPC Green, Tata Power Renewables, ReNew, Greenko, Sembcorp and a long tail of financial-sponsor platforms. In a reverse auction where everyone buys the same modules and turbines from the same suppliers, the winner is whoever has the cheapest capital and the best-secured land and evacuation. That is a real but shallow moat, and it erodes if the balance sheet tightens.</w:t>
      </w:r>
    </w:p>
    <w:tbl>
      <w:tblPr>
        <w:tblW w:w="10205"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1759"/>
        <w:gridCol w:w="1994"/>
        <w:gridCol w:w="1290"/>
        <w:gridCol w:w="5161"/>
      </w:tblGrid>
      <w:tr>
        <w:tc>
          <w:tcPr>
            <w:tcW w:type="dxa" w:w="1759"/>
            <w:shd w:val="clear" w:color="auto" w:fill="1F3864"/>
          </w:tcPr>
          <w:p>
            <w:pPr>
              <w:spacing w:before="50" w:after="50"/>
              <w:jc w:val="left"/>
            </w:pPr>
            <w:r>
              <w:rPr>
                <w:b/>
                <w:color w:val="FFFFFF"/>
                <w:sz w:val="15"/>
              </w:rPr>
              <w:t>Peer</w:t>
            </w:r>
          </w:p>
        </w:tc>
        <w:tc>
          <w:tcPr>
            <w:tcW w:type="dxa" w:w="1994"/>
            <w:shd w:val="clear" w:color="auto" w:fill="1F3864"/>
          </w:tcPr>
          <w:p>
            <w:pPr>
              <w:spacing w:before="50" w:after="50"/>
              <w:jc w:val="right"/>
            </w:pPr>
            <w:r>
              <w:rPr>
                <w:b/>
                <w:color w:val="FFFFFF"/>
                <w:sz w:val="15"/>
              </w:rPr>
              <w:t>EV/EBITDA</w:t>
            </w:r>
          </w:p>
        </w:tc>
        <w:tc>
          <w:tcPr>
            <w:tcW w:type="dxa" w:w="1290"/>
            <w:shd w:val="clear" w:color="auto" w:fill="1F3864"/>
          </w:tcPr>
          <w:p>
            <w:pPr>
              <w:spacing w:before="50" w:after="50"/>
              <w:jc w:val="right"/>
            </w:pPr>
            <w:r>
              <w:rPr>
                <w:b/>
                <w:color w:val="FFFFFF"/>
                <w:sz w:val="15"/>
              </w:rPr>
              <w:t>P/E</w:t>
            </w:r>
          </w:p>
        </w:tc>
        <w:tc>
          <w:tcPr>
            <w:tcW w:type="dxa" w:w="5161"/>
            <w:shd w:val="clear" w:color="auto" w:fill="1F3864"/>
          </w:tcPr>
          <w:p>
            <w:pPr>
              <w:spacing w:before="50" w:after="50"/>
              <w:jc w:val="right"/>
            </w:pPr>
            <w:r>
              <w:rPr>
                <w:b/>
                <w:color w:val="FFFFFF"/>
                <w:sz w:val="15"/>
              </w:rPr>
              <w:t>Comment</w:t>
            </w:r>
          </w:p>
        </w:tc>
      </w:tr>
      <w:tr>
        <w:tc>
          <w:tcPr>
            <w:tcW w:type="dxa" w:w="1759"/>
          </w:tcPr>
          <w:p>
            <w:pPr>
              <w:spacing w:before="32" w:after="32" w:line="240" w:lineRule="auto"/>
              <w:jc w:val="left"/>
            </w:pPr>
            <w:r>
              <w:rPr>
                <w:b w:val="0"/>
                <w:color w:val="0B0B0B"/>
                <w:sz w:val="15"/>
              </w:rPr>
              <w:t>JSW Energy</w:t>
            </w:r>
          </w:p>
        </w:tc>
        <w:tc>
          <w:tcPr>
            <w:tcW w:type="dxa" w:w="1994"/>
          </w:tcPr>
          <w:p>
            <w:pPr>
              <w:spacing w:before="32" w:after="32" w:line="240" w:lineRule="auto"/>
              <w:jc w:val="right"/>
            </w:pPr>
            <w:r>
              <w:rPr>
                <w:b w:val="0"/>
                <w:color w:val="0B0B0B"/>
                <w:sz w:val="15"/>
              </w:rPr>
              <w:t>11.2x FY28E / 13.9x 12m fwd</w:t>
            </w:r>
          </w:p>
        </w:tc>
        <w:tc>
          <w:tcPr>
            <w:tcW w:type="dxa" w:w="1290"/>
          </w:tcPr>
          <w:p>
            <w:pPr>
              <w:spacing w:before="32" w:after="32" w:line="240" w:lineRule="auto"/>
              <w:jc w:val="right"/>
            </w:pPr>
            <w:r>
              <w:rPr>
                <w:b w:val="0"/>
                <w:color w:val="0B0B0B"/>
                <w:sz w:val="15"/>
              </w:rPr>
              <w:t>44.0x FY26A</w:t>
            </w:r>
          </w:p>
        </w:tc>
        <w:tc>
          <w:tcPr>
            <w:tcW w:type="dxa" w:w="5161"/>
          </w:tcPr>
          <w:p>
            <w:pPr>
              <w:spacing w:before="32" w:after="32" w:line="240" w:lineRule="auto"/>
              <w:jc w:val="right"/>
            </w:pPr>
            <w:r>
              <w:rPr>
                <w:b w:val="0"/>
                <w:color w:val="0B0B0B"/>
                <w:sz w:val="15"/>
              </w:rPr>
              <w:t>13.5GW; 2.3x net debt/equity; ROCE 6.4% FY26A</w:t>
            </w:r>
          </w:p>
        </w:tc>
      </w:tr>
      <w:tr>
        <w:tc>
          <w:tcPr>
            <w:tcW w:type="dxa" w:w="1759"/>
            <w:shd w:val="clear" w:color="auto" w:fill="EEF3FA"/>
          </w:tcPr>
          <w:p>
            <w:pPr>
              <w:spacing w:before="32" w:after="32" w:line="240" w:lineRule="auto"/>
              <w:jc w:val="left"/>
            </w:pPr>
            <w:r>
              <w:rPr>
                <w:b w:val="0"/>
                <w:color w:val="0B0B0B"/>
                <w:sz w:val="15"/>
              </w:rPr>
              <w:t>NTPC</w:t>
            </w:r>
          </w:p>
        </w:tc>
        <w:tc>
          <w:tcPr>
            <w:tcW w:type="dxa" w:w="1994"/>
            <w:shd w:val="clear" w:color="auto" w:fill="EEF3FA"/>
          </w:tcPr>
          <w:p>
            <w:pPr>
              <w:spacing w:before="32" w:after="32" w:line="240" w:lineRule="auto"/>
              <w:jc w:val="right"/>
            </w:pPr>
            <w:r>
              <w:rPr>
                <w:b w:val="0"/>
                <w:color w:val="0B0B0B"/>
                <w:sz w:val="15"/>
              </w:rPr>
              <w:t>~11.0x</w:t>
            </w:r>
          </w:p>
        </w:tc>
        <w:tc>
          <w:tcPr>
            <w:tcW w:type="dxa" w:w="1290"/>
            <w:shd w:val="clear" w:color="auto" w:fill="EEF3FA"/>
          </w:tcPr>
          <w:p>
            <w:pPr>
              <w:spacing w:before="32" w:after="32" w:line="240" w:lineRule="auto"/>
              <w:jc w:val="right"/>
            </w:pPr>
            <w:r>
              <w:rPr>
                <w:b w:val="0"/>
                <w:color w:val="0B0B0B"/>
                <w:sz w:val="15"/>
              </w:rPr>
              <w:t>~12.8x</w:t>
            </w:r>
          </w:p>
        </w:tc>
        <w:tc>
          <w:tcPr>
            <w:tcW w:type="dxa" w:w="5161"/>
            <w:shd w:val="clear" w:color="auto" w:fill="EEF3FA"/>
          </w:tcPr>
          <w:p>
            <w:pPr>
              <w:spacing w:before="32" w:after="32" w:line="240" w:lineRule="auto"/>
              <w:jc w:val="right"/>
            </w:pPr>
            <w:r>
              <w:rPr>
                <w:b w:val="0"/>
                <w:color w:val="0B0B0B"/>
                <w:sz w:val="15"/>
              </w:rPr>
              <w:t>~80GW+, sovereign-owned, regulated RoE base — the sector's valuation floor</w:t>
            </w:r>
          </w:p>
        </w:tc>
      </w:tr>
      <w:tr>
        <w:tc>
          <w:tcPr>
            <w:tcW w:type="dxa" w:w="1759"/>
          </w:tcPr>
          <w:p>
            <w:pPr>
              <w:spacing w:before="32" w:after="32" w:line="240" w:lineRule="auto"/>
              <w:jc w:val="left"/>
            </w:pPr>
            <w:r>
              <w:rPr>
                <w:b w:val="0"/>
                <w:color w:val="0B0B0B"/>
                <w:sz w:val="15"/>
              </w:rPr>
              <w:t>Tata Power</w:t>
            </w:r>
          </w:p>
        </w:tc>
        <w:tc>
          <w:tcPr>
            <w:tcW w:type="dxa" w:w="1994"/>
          </w:tcPr>
          <w:p>
            <w:pPr>
              <w:spacing w:before="32" w:after="32" w:line="240" w:lineRule="auto"/>
              <w:jc w:val="right"/>
            </w:pPr>
            <w:r>
              <w:rPr>
                <w:b w:val="0"/>
                <w:color w:val="0B0B0B"/>
                <w:sz w:val="15"/>
              </w:rPr>
              <w:t>~13.8x</w:t>
            </w:r>
          </w:p>
        </w:tc>
        <w:tc>
          <w:tcPr>
            <w:tcW w:type="dxa" w:w="1290"/>
          </w:tcPr>
          <w:p>
            <w:pPr>
              <w:spacing w:before="32" w:after="32" w:line="240" w:lineRule="auto"/>
              <w:jc w:val="right"/>
            </w:pPr>
            <w:r>
              <w:rPr>
                <w:b w:val="0"/>
                <w:color w:val="0B0B0B"/>
                <w:sz w:val="15"/>
              </w:rPr>
              <w:t>~33.4x</w:t>
            </w:r>
          </w:p>
        </w:tc>
        <w:tc>
          <w:tcPr>
            <w:tcW w:type="dxa" w:w="5161"/>
          </w:tcPr>
          <w:p>
            <w:pPr>
              <w:spacing w:before="32" w:after="32" w:line="240" w:lineRule="auto"/>
              <w:jc w:val="right"/>
            </w:pPr>
            <w:r>
              <w:rPr>
                <w:b w:val="0"/>
                <w:color w:val="0B0B0B"/>
                <w:sz w:val="15"/>
              </w:rPr>
              <w:t>Integrated: generation, distribution, module manufacturing</w:t>
            </w:r>
          </w:p>
        </w:tc>
      </w:tr>
      <w:tr>
        <w:tc>
          <w:tcPr>
            <w:tcW w:type="dxa" w:w="1759"/>
            <w:shd w:val="clear" w:color="auto" w:fill="EEF3FA"/>
          </w:tcPr>
          <w:p>
            <w:pPr>
              <w:spacing w:before="32" w:after="32" w:line="240" w:lineRule="auto"/>
              <w:jc w:val="left"/>
            </w:pPr>
            <w:r>
              <w:rPr>
                <w:b w:val="0"/>
                <w:color w:val="0B0B0B"/>
                <w:sz w:val="15"/>
              </w:rPr>
              <w:t>Adani Power</w:t>
            </w:r>
          </w:p>
        </w:tc>
        <w:tc>
          <w:tcPr>
            <w:tcW w:type="dxa" w:w="1994"/>
            <w:shd w:val="clear" w:color="auto" w:fill="EEF3FA"/>
          </w:tcPr>
          <w:p>
            <w:pPr>
              <w:spacing w:before="32" w:after="32" w:line="240" w:lineRule="auto"/>
              <w:jc w:val="right"/>
            </w:pPr>
            <w:r>
              <w:rPr>
                <w:b w:val="0"/>
                <w:color w:val="0B0B0B"/>
                <w:sz w:val="15"/>
              </w:rPr>
              <w:t>~24.4x</w:t>
            </w:r>
          </w:p>
        </w:tc>
        <w:tc>
          <w:tcPr>
            <w:tcW w:type="dxa" w:w="1290"/>
            <w:shd w:val="clear" w:color="auto" w:fill="EEF3FA"/>
          </w:tcPr>
          <w:p>
            <w:pPr>
              <w:spacing w:before="32" w:after="32" w:line="240" w:lineRule="auto"/>
              <w:jc w:val="right"/>
            </w:pPr>
            <w:r>
              <w:rPr>
                <w:b w:val="0"/>
                <w:color w:val="0B0B0B"/>
                <w:sz w:val="15"/>
              </w:rPr>
              <w:t>n/a</w:t>
            </w:r>
          </w:p>
        </w:tc>
        <w:tc>
          <w:tcPr>
            <w:tcW w:type="dxa" w:w="5161"/>
            <w:shd w:val="clear" w:color="auto" w:fill="EEF3FA"/>
          </w:tcPr>
          <w:p>
            <w:pPr>
              <w:spacing w:before="32" w:after="32" w:line="240" w:lineRule="auto"/>
              <w:jc w:val="right"/>
            </w:pPr>
            <w:r>
              <w:rPr>
                <w:b w:val="0"/>
                <w:color w:val="0B0B0B"/>
                <w:sz w:val="15"/>
              </w:rPr>
              <w:t>Largest listed private thermal by market cap in 2026</w:t>
            </w:r>
          </w:p>
        </w:tc>
      </w:tr>
      <w:tr>
        <w:tc>
          <w:tcPr>
            <w:tcW w:type="dxa" w:w="1759"/>
          </w:tcPr>
          <w:p>
            <w:pPr>
              <w:spacing w:before="32" w:after="32" w:line="240" w:lineRule="auto"/>
              <w:jc w:val="left"/>
            </w:pPr>
            <w:r>
              <w:rPr>
                <w:b w:val="0"/>
                <w:color w:val="0B0B0B"/>
                <w:sz w:val="15"/>
              </w:rPr>
              <w:t>Adani Green</w:t>
            </w:r>
          </w:p>
        </w:tc>
        <w:tc>
          <w:tcPr>
            <w:tcW w:type="dxa" w:w="1994"/>
          </w:tcPr>
          <w:p>
            <w:pPr>
              <w:spacing w:before="32" w:after="32" w:line="240" w:lineRule="auto"/>
              <w:jc w:val="right"/>
            </w:pPr>
            <w:r>
              <w:rPr>
                <w:b w:val="0"/>
                <w:color w:val="0B0B0B"/>
                <w:sz w:val="15"/>
              </w:rPr>
              <w:t>&gt;17x</w:t>
            </w:r>
          </w:p>
        </w:tc>
        <w:tc>
          <w:tcPr>
            <w:tcW w:type="dxa" w:w="1290"/>
          </w:tcPr>
          <w:p>
            <w:pPr>
              <w:spacing w:before="32" w:after="32" w:line="240" w:lineRule="auto"/>
              <w:jc w:val="right"/>
            </w:pPr>
            <w:r>
              <w:rPr>
                <w:b w:val="0"/>
                <w:color w:val="0B0B0B"/>
                <w:sz w:val="15"/>
              </w:rPr>
              <w:t>&gt;50x</w:t>
            </w:r>
          </w:p>
        </w:tc>
        <w:tc>
          <w:tcPr>
            <w:tcW w:type="dxa" w:w="5161"/>
          </w:tcPr>
          <w:p>
            <w:pPr>
              <w:spacing w:before="32" w:after="32" w:line="240" w:lineRule="auto"/>
              <w:jc w:val="right"/>
            </w:pPr>
            <w:r>
              <w:rPr>
                <w:b w:val="0"/>
                <w:color w:val="0B0B0B"/>
                <w:sz w:val="15"/>
              </w:rPr>
              <w:t>Pure-play renewable; the multiple JSW's renewable arm is implicitly benchmarked against in the SOTP</w:t>
            </w:r>
          </w:p>
        </w:tc>
      </w:tr>
    </w:tbl>
    <w:p>
      <w:pPr>
        <w:spacing w:before="40" w:after="120"/>
      </w:pPr>
      <w:r>
        <w:rPr>
          <w:b w:val="0"/>
          <w:i/>
          <w:color w:val="8A8880"/>
          <w:sz w:val="14"/>
        </w:rPr>
        <w:t>Peer multiples are trailing figures collected from secondary market-data providers in July 2026 and have NOT been reconciled to audited accounts or to a common estimate basis. Treat them as indicative of relative position only. Peer revenue growth, EBITDA margin, ROCE and market capitalisation on a like-for-like basis were not obtainable and are deliberately left out rather than estimated. This is a gap in the note.</w:t>
      </w:r>
    </w:p>
    <w:p>
      <w:pPr>
        <w:spacing w:before="0" w:after="100"/>
      </w:pPr>
      <w:r>
        <w:rPr>
          <w:b w:val="0"/>
          <w:i w:val="0"/>
          <w:color w:val="0B0B0B"/>
          <w:sz w:val="17"/>
        </w:rPr>
        <w:t>Operating benchmarking is where the company looks weakest. JSW Energy's ROCE was 6.4% in FY26A and averaged 5.4% over FY23A–FY26A. NTPC, on a regulated return base, and Tata Power, on an integrated model, both run materially higher. JSW's EBITDA margin of 53.2% is high, but margin is the wrong comparison in a capital-intensive utility — a 60% margin on a 0.24x asset turn produces a 14% pre-tax return on gross assets before any leverage or depreciation, which is how a business can look highly profitable on the income statement and mediocre on capital. Market share is not the operative metric here: at 2.7% of national capacity, JSW is a price-taker in every market it sells into except the regulated Barmer contract and the group captive book.</w:t>
      </w:r>
    </w:p>
    <w:p>
      <w:pPr>
        <w:keepNext/>
        <w:spacing w:before="180" w:after="40"/>
      </w:pPr>
      <w:r>
        <w:rPr>
          <w:b/>
          <w:color w:val="1F3864"/>
          <w:sz w:val="21"/>
        </w:rPr>
        <w:t>11.  Business Growth Drivers — Company-Specific</w:t>
      </w:r>
    </w:p>
    <w:p>
      <w:pPr>
        <w:spacing w:before="120" w:after="40"/>
        <w:jc w:val="center"/>
      </w:pPr>
      <w:r>
        <w:drawing>
          <wp:inline xmlns:a="http://schemas.openxmlformats.org/drawingml/2006/main" xmlns:pic="http://schemas.openxmlformats.org/drawingml/2006/picture">
            <wp:extent cx="4896000" cy="2644785"/>
            <wp:docPr id="5" name="Picture 5"/>
            <wp:cNvGraphicFramePr>
              <a:graphicFrameLocks noChangeAspect="1"/>
            </wp:cNvGraphicFramePr>
            <a:graphic>
              <a:graphicData uri="http://schemas.openxmlformats.org/drawingml/2006/picture">
                <pic:pic>
                  <pic:nvPicPr>
                    <pic:cNvPr id="0" name="ex4_bridge.png"/>
                    <pic:cNvPicPr/>
                  </pic:nvPicPr>
                  <pic:blipFill>
                    <a:blip r:embed="rId13"/>
                    <a:stretch>
                      <a:fillRect/>
                    </a:stretch>
                  </pic:blipFill>
                  <pic:spPr>
                    <a:xfrm>
                      <a:off x="0" y="0"/>
                      <a:ext cx="4896000" cy="2644785"/>
                    </a:xfrm>
                    <a:prstGeom prst="rect"/>
                  </pic:spPr>
                </pic:pic>
              </a:graphicData>
            </a:graphic>
          </wp:inline>
        </w:drawing>
      </w:r>
    </w:p>
    <w:p>
      <w:pPr>
        <w:spacing w:before="0" w:after="140"/>
      </w:pPr>
      <w:r>
        <w:rPr>
          <w:b w:val="0"/>
          <w:i/>
          <w:color w:val="8A8880"/>
          <w:sz w:val="14"/>
        </w:rPr>
        <w:t>Exhibit 5  EBITDA growth bridge, FY26A to FY30E, Rs. crore. Source: analyst model, segment EBITDA.</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3284"/>
        <w:gridCol w:w="2111"/>
        <w:gridCol w:w="1290"/>
        <w:gridCol w:w="3519"/>
      </w:tblGrid>
      <w:tr>
        <w:tc>
          <w:tcPr>
            <w:tcW w:type="dxa" w:w="3284"/>
            <w:shd w:val="clear" w:color="auto" w:fill="1F3864"/>
          </w:tcPr>
          <w:p>
            <w:pPr>
              <w:spacing w:before="50" w:after="50"/>
              <w:jc w:val="left"/>
            </w:pPr>
            <w:r>
              <w:rPr>
                <w:b/>
                <w:color w:val="FFFFFF"/>
                <w:sz w:val="14"/>
              </w:rPr>
              <w:t>Driver</w:t>
            </w:r>
          </w:p>
        </w:tc>
        <w:tc>
          <w:tcPr>
            <w:tcW w:type="dxa" w:w="2111"/>
            <w:shd w:val="clear" w:color="auto" w:fill="1F3864"/>
          </w:tcPr>
          <w:p>
            <w:pPr>
              <w:spacing w:before="50" w:after="50"/>
              <w:jc w:val="right"/>
            </w:pPr>
            <w:r>
              <w:rPr>
                <w:b/>
                <w:color w:val="FFFFFF"/>
                <w:sz w:val="14"/>
              </w:rPr>
              <w:t>FY26A → FY30E EBITDA (Rs.cr)</w:t>
            </w:r>
          </w:p>
        </w:tc>
        <w:tc>
          <w:tcPr>
            <w:tcW w:type="dxa" w:w="1290"/>
            <w:shd w:val="clear" w:color="auto" w:fill="1F3864"/>
          </w:tcPr>
          <w:p>
            <w:pPr>
              <w:spacing w:before="50" w:after="50"/>
              <w:jc w:val="right"/>
            </w:pPr>
            <w:r>
              <w:rPr>
                <w:b/>
                <w:color w:val="FFFFFF"/>
                <w:sz w:val="14"/>
              </w:rPr>
              <w:t>Contribution</w:t>
            </w:r>
          </w:p>
        </w:tc>
        <w:tc>
          <w:tcPr>
            <w:tcW w:type="dxa" w:w="3519"/>
            <w:shd w:val="clear" w:color="auto" w:fill="1F3864"/>
          </w:tcPr>
          <w:p>
            <w:pPr>
              <w:spacing w:before="50" w:after="50"/>
              <w:jc w:val="right"/>
            </w:pPr>
            <w:r>
              <w:rPr>
                <w:b/>
                <w:color w:val="FFFFFF"/>
                <w:sz w:val="14"/>
              </w:rPr>
              <w:t>Status</w:t>
            </w:r>
          </w:p>
        </w:tc>
      </w:tr>
      <w:tr>
        <w:tc>
          <w:tcPr>
            <w:tcW w:type="dxa" w:w="3284"/>
          </w:tcPr>
          <w:p>
            <w:pPr>
              <w:spacing w:before="32" w:after="32" w:line="240" w:lineRule="auto"/>
              <w:jc w:val="left"/>
            </w:pPr>
            <w:r>
              <w:rPr>
                <w:b w:val="0"/>
                <w:color w:val="0B0B0B"/>
                <w:sz w:val="14"/>
              </w:rPr>
              <w:t>Renewables: 6,165MW → 18,316MW of solar, wind and hybrid</w:t>
            </w:r>
          </w:p>
        </w:tc>
        <w:tc>
          <w:tcPr>
            <w:tcW w:type="dxa" w:w="2111"/>
          </w:tcPr>
          <w:p>
            <w:pPr>
              <w:spacing w:before="32" w:after="32" w:line="240" w:lineRule="auto"/>
              <w:jc w:val="right"/>
            </w:pPr>
            <w:r>
              <w:rPr>
                <w:b w:val="0"/>
                <w:color w:val="0B0B0B"/>
                <w:sz w:val="14"/>
              </w:rPr>
              <w:t>4,329 → 16,767   (+12,438)</w:t>
            </w:r>
          </w:p>
        </w:tc>
        <w:tc>
          <w:tcPr>
            <w:tcW w:type="dxa" w:w="1290"/>
          </w:tcPr>
          <w:p>
            <w:pPr>
              <w:spacing w:before="32" w:after="32" w:line="240" w:lineRule="auto"/>
              <w:jc w:val="right"/>
            </w:pPr>
            <w:r>
              <w:rPr>
                <w:b w:val="0"/>
                <w:color w:val="0B0B0B"/>
                <w:sz w:val="14"/>
              </w:rPr>
              <w:t>92% of the bridge</w:t>
            </w:r>
          </w:p>
        </w:tc>
        <w:tc>
          <w:tcPr>
            <w:tcW w:type="dxa" w:w="3519"/>
          </w:tcPr>
          <w:p>
            <w:pPr>
              <w:spacing w:before="32" w:after="32" w:line="240" w:lineRule="auto"/>
              <w:jc w:val="right"/>
            </w:pPr>
            <w:r>
              <w:rPr>
                <w:b w:val="0"/>
                <w:color w:val="0B0B0B"/>
                <w:sz w:val="14"/>
              </w:rPr>
              <w:t>Committed for ~6,700MW under construction; probable for the tendered pipeline; the FY29E–FY30E additions are optional</w:t>
            </w:r>
          </w:p>
        </w:tc>
      </w:tr>
      <w:tr>
        <w:tc>
          <w:tcPr>
            <w:tcW w:type="dxa" w:w="3284"/>
            <w:shd w:val="clear" w:color="auto" w:fill="EEF3FA"/>
          </w:tcPr>
          <w:p>
            <w:pPr>
              <w:spacing w:before="32" w:after="32" w:line="240" w:lineRule="auto"/>
              <w:jc w:val="left"/>
            </w:pPr>
            <w:r>
              <w:rPr>
                <w:b w:val="0"/>
                <w:color w:val="0B0B0B"/>
                <w:sz w:val="14"/>
              </w:rPr>
              <w:t>Hydro: Kutehr full-year effect</w:t>
            </w:r>
          </w:p>
        </w:tc>
        <w:tc>
          <w:tcPr>
            <w:tcW w:type="dxa" w:w="2111"/>
            <w:shd w:val="clear" w:color="auto" w:fill="EEF3FA"/>
          </w:tcPr>
          <w:p>
            <w:pPr>
              <w:spacing w:before="32" w:after="32" w:line="240" w:lineRule="auto"/>
              <w:jc w:val="right"/>
            </w:pPr>
            <w:r>
              <w:rPr>
                <w:b w:val="0"/>
                <w:color w:val="0B0B0B"/>
                <w:sz w:val="14"/>
              </w:rPr>
              <w:t>885 → 1,329   (+443)</w:t>
            </w:r>
          </w:p>
        </w:tc>
        <w:tc>
          <w:tcPr>
            <w:tcW w:type="dxa" w:w="1290"/>
            <w:shd w:val="clear" w:color="auto" w:fill="EEF3FA"/>
          </w:tcPr>
          <w:p>
            <w:pPr>
              <w:spacing w:before="32" w:after="32" w:line="240" w:lineRule="auto"/>
              <w:jc w:val="right"/>
            </w:pPr>
            <w:r>
              <w:rPr>
                <w:b w:val="0"/>
                <w:color w:val="0B0B0B"/>
                <w:sz w:val="14"/>
              </w:rPr>
              <w:t>3%</w:t>
            </w:r>
          </w:p>
        </w:tc>
        <w:tc>
          <w:tcPr>
            <w:tcW w:type="dxa" w:w="3519"/>
            <w:shd w:val="clear" w:color="auto" w:fill="EEF3FA"/>
          </w:tcPr>
          <w:p>
            <w:pPr>
              <w:spacing w:before="32" w:after="32" w:line="240" w:lineRule="auto"/>
              <w:jc w:val="right"/>
            </w:pPr>
            <w:r>
              <w:rPr>
                <w:b w:val="0"/>
                <w:color w:val="0B0B0B"/>
                <w:sz w:val="14"/>
              </w:rPr>
              <w:t>Committed — plant commissioned FY26</w:t>
            </w:r>
          </w:p>
        </w:tc>
      </w:tr>
      <w:tr>
        <w:tc>
          <w:tcPr>
            <w:tcW w:type="dxa" w:w="3284"/>
          </w:tcPr>
          <w:p>
            <w:pPr>
              <w:spacing w:before="32" w:after="32" w:line="240" w:lineRule="auto"/>
              <w:jc w:val="left"/>
            </w:pPr>
            <w:r>
              <w:rPr>
                <w:b w:val="0"/>
                <w:color w:val="0B0B0B"/>
                <w:sz w:val="14"/>
              </w:rPr>
              <w:t>Thermal: PLF and realisation, no new capacity</w:t>
            </w:r>
          </w:p>
        </w:tc>
        <w:tc>
          <w:tcPr>
            <w:tcW w:type="dxa" w:w="2111"/>
          </w:tcPr>
          <w:p>
            <w:pPr>
              <w:spacing w:before="32" w:after="32" w:line="240" w:lineRule="auto"/>
              <w:jc w:val="right"/>
            </w:pPr>
            <w:r>
              <w:rPr>
                <w:b w:val="0"/>
                <w:color w:val="0B0B0B"/>
                <w:sz w:val="14"/>
              </w:rPr>
              <w:t>5,485 → 5,172   (–313)</w:t>
            </w:r>
          </w:p>
        </w:tc>
        <w:tc>
          <w:tcPr>
            <w:tcW w:type="dxa" w:w="1290"/>
          </w:tcPr>
          <w:p>
            <w:pPr>
              <w:spacing w:before="32" w:after="32" w:line="240" w:lineRule="auto"/>
              <w:jc w:val="right"/>
            </w:pPr>
            <w:r>
              <w:rPr>
                <w:b w:val="0"/>
                <w:color w:val="0B0B0B"/>
                <w:sz w:val="14"/>
              </w:rPr>
              <w:t>–2%</w:t>
            </w:r>
          </w:p>
        </w:tc>
        <w:tc>
          <w:tcPr>
            <w:tcW w:type="dxa" w:w="3519"/>
          </w:tcPr>
          <w:p>
            <w:pPr>
              <w:spacing w:before="32" w:after="32" w:line="240" w:lineRule="auto"/>
              <w:jc w:val="right"/>
            </w:pPr>
            <w:r>
              <w:rPr>
                <w:b w:val="0"/>
                <w:color w:val="0B0B0B"/>
                <w:sz w:val="14"/>
              </w:rPr>
              <w:t>Committed capacity, but the model forecasts thermal EBITDA to fall</w:t>
            </w:r>
          </w:p>
        </w:tc>
      </w:tr>
      <w:tr>
        <w:tc>
          <w:tcPr>
            <w:tcW w:type="dxa" w:w="3284"/>
            <w:shd w:val="clear" w:color="auto" w:fill="EEF3FA"/>
          </w:tcPr>
          <w:p>
            <w:pPr>
              <w:spacing w:before="32" w:after="32" w:line="240" w:lineRule="auto"/>
              <w:jc w:val="left"/>
            </w:pPr>
            <w:r>
              <w:rPr>
                <w:b w:val="0"/>
                <w:color w:val="0B0B0B"/>
                <w:sz w:val="14"/>
              </w:rPr>
              <w:t>Others: holdco, transmission, trading turning positive</w:t>
            </w:r>
          </w:p>
        </w:tc>
        <w:tc>
          <w:tcPr>
            <w:tcW w:type="dxa" w:w="2111"/>
            <w:shd w:val="clear" w:color="auto" w:fill="EEF3FA"/>
          </w:tcPr>
          <w:p>
            <w:pPr>
              <w:spacing w:before="32" w:after="32" w:line="240" w:lineRule="auto"/>
              <w:jc w:val="right"/>
            </w:pPr>
            <w:r>
              <w:rPr>
                <w:b w:val="0"/>
                <w:color w:val="0B0B0B"/>
                <w:sz w:val="14"/>
              </w:rPr>
              <w:t>–635 → 269   (+903)</w:t>
            </w:r>
          </w:p>
        </w:tc>
        <w:tc>
          <w:tcPr>
            <w:tcW w:type="dxa" w:w="1290"/>
            <w:shd w:val="clear" w:color="auto" w:fill="EEF3FA"/>
          </w:tcPr>
          <w:p>
            <w:pPr>
              <w:spacing w:before="32" w:after="32" w:line="240" w:lineRule="auto"/>
              <w:jc w:val="right"/>
            </w:pPr>
            <w:r>
              <w:rPr>
                <w:b w:val="0"/>
                <w:color w:val="0B0B0B"/>
                <w:sz w:val="14"/>
              </w:rPr>
              <w:t>7%</w:t>
            </w:r>
          </w:p>
        </w:tc>
        <w:tc>
          <w:tcPr>
            <w:tcW w:type="dxa" w:w="3519"/>
            <w:shd w:val="clear" w:color="auto" w:fill="EEF3FA"/>
          </w:tcPr>
          <w:p>
            <w:pPr>
              <w:spacing w:before="32" w:after="32" w:line="240" w:lineRule="auto"/>
              <w:jc w:val="right"/>
            </w:pPr>
            <w:r>
              <w:rPr>
                <w:b w:val="0"/>
                <w:color w:val="0B0B0B"/>
                <w:sz w:val="14"/>
              </w:rPr>
              <w:t>Unexplained in the model — treat as optional</w:t>
            </w:r>
          </w:p>
        </w:tc>
      </w:tr>
      <w:tr>
        <w:tc>
          <w:tcPr>
            <w:tcW w:type="dxa" w:w="3284"/>
            <w:shd w:val="clear" w:color="auto" w:fill="DCE6F2"/>
          </w:tcPr>
          <w:p>
            <w:pPr>
              <w:spacing w:before="32" w:after="32" w:line="240" w:lineRule="auto"/>
              <w:jc w:val="left"/>
            </w:pPr>
            <w:r>
              <w:rPr>
                <w:b/>
                <w:color w:val="0B0B0B"/>
                <w:sz w:val="14"/>
              </w:rPr>
              <w:t>Total</w:t>
            </w:r>
          </w:p>
        </w:tc>
        <w:tc>
          <w:tcPr>
            <w:tcW w:type="dxa" w:w="2111"/>
            <w:shd w:val="clear" w:color="auto" w:fill="DCE6F2"/>
          </w:tcPr>
          <w:p>
            <w:pPr>
              <w:spacing w:before="32" w:after="32" w:line="240" w:lineRule="auto"/>
              <w:jc w:val="right"/>
            </w:pPr>
            <w:r>
              <w:rPr>
                <w:b/>
                <w:color w:val="0B0B0B"/>
                <w:sz w:val="14"/>
              </w:rPr>
              <w:t>10,064 → 23,536   (+13,472)</w:t>
            </w:r>
          </w:p>
        </w:tc>
        <w:tc>
          <w:tcPr>
            <w:tcW w:type="dxa" w:w="1290"/>
            <w:shd w:val="clear" w:color="auto" w:fill="DCE6F2"/>
          </w:tcPr>
          <w:p>
            <w:pPr>
              <w:spacing w:before="32" w:after="32" w:line="240" w:lineRule="auto"/>
              <w:jc w:val="right"/>
            </w:pPr>
            <w:r>
              <w:rPr>
                <w:b/>
                <w:color w:val="0B0B0B"/>
                <w:sz w:val="14"/>
              </w:rPr>
              <w:t>100%</w:t>
            </w:r>
          </w:p>
        </w:tc>
        <w:tc>
          <w:tcPr>
            <w:tcW w:type="dxa" w:w="3519"/>
            <w:shd w:val="clear" w:color="auto" w:fill="DCE6F2"/>
          </w:tcPr>
          <w:p>
            <w:pPr>
              <w:spacing w:before="32" w:after="32" w:line="240" w:lineRule="auto"/>
              <w:jc w:val="right"/>
            </w:pPr>
            <w:r>
              <w:rPr>
                <w:b/>
                <w:color w:val="0B0B0B"/>
                <w:sz w:val="14"/>
              </w:rPr>
            </w:r>
          </w:p>
        </w:tc>
      </w:tr>
      <w:tr>
        <w:tc>
          <w:tcPr>
            <w:tcW w:type="dxa" w:w="3284"/>
            <w:shd w:val="clear" w:color="auto" w:fill="EEF3FA"/>
          </w:tcPr>
          <w:p>
            <w:pPr>
              <w:spacing w:before="32" w:after="32" w:line="240" w:lineRule="auto"/>
              <w:jc w:val="left"/>
            </w:pPr>
            <w:r>
              <w:rPr>
                <w:b w:val="0"/>
                <w:color w:val="0B0B0B"/>
                <w:sz w:val="14"/>
              </w:rPr>
              <w:t>Not in the model at all</w:t>
            </w:r>
          </w:p>
        </w:tc>
        <w:tc>
          <w:tcPr>
            <w:tcW w:type="dxa" w:w="2111"/>
            <w:shd w:val="clear" w:color="auto" w:fill="EEF3FA"/>
          </w:tcPr>
          <w:p>
            <w:pPr>
              <w:spacing w:before="32" w:after="32" w:line="240" w:lineRule="auto"/>
              <w:jc w:val="right"/>
            </w:pPr>
            <w:r>
              <w:rPr>
                <w:b w:val="0"/>
                <w:color w:val="0B0B0B"/>
                <w:sz w:val="14"/>
              </w:rPr>
              <w:t>—</w:t>
            </w:r>
          </w:p>
        </w:tc>
        <w:tc>
          <w:tcPr>
            <w:tcW w:type="dxa" w:w="1290"/>
            <w:shd w:val="clear" w:color="auto" w:fill="EEF3FA"/>
          </w:tcPr>
          <w:p>
            <w:pPr>
              <w:spacing w:before="32" w:after="32" w:line="240" w:lineRule="auto"/>
              <w:jc w:val="right"/>
            </w:pPr>
            <w:r>
              <w:rPr>
                <w:b w:val="0"/>
                <w:color w:val="0B0B0B"/>
                <w:sz w:val="14"/>
              </w:rPr>
              <w:t>—</w:t>
            </w:r>
          </w:p>
        </w:tc>
        <w:tc>
          <w:tcPr>
            <w:tcW w:type="dxa" w:w="3519"/>
            <w:shd w:val="clear" w:color="auto" w:fill="EEF3FA"/>
          </w:tcPr>
          <w:p>
            <w:pPr>
              <w:spacing w:before="32" w:after="32" w:line="240" w:lineRule="auto"/>
              <w:jc w:val="right"/>
            </w:pPr>
            <w:r>
              <w:rPr>
                <w:b w:val="0"/>
                <w:color w:val="0B0B0B"/>
                <w:sz w:val="14"/>
              </w:rPr>
              <w:t>Salboni 1,600MW thermal (under construction, PPA signed); KSK units 3–6 (1,600–1,800MW option); PSP beyond 1,500MW; any further acquisition</w:t>
            </w:r>
          </w:p>
        </w:tc>
      </w:tr>
    </w:tbl>
    <w:p>
      <w:pPr>
        <w:spacing w:before="40" w:after="120"/>
      </w:pPr>
      <w:r>
        <w:rPr>
          <w:b w:val="0"/>
          <w:i/>
          <w:color w:val="8A8880"/>
          <w:sz w:val="14"/>
        </w:rPr>
        <w:t>Source: analyst model. Status labels (committed / probable / optional) are our assessment against the model's commissioning schedule, not a company disclosure.</w:t>
      </w:r>
    </w:p>
    <w:p>
      <w:pPr>
        <w:spacing w:before="0" w:after="100"/>
      </w:pPr>
      <w:r>
        <w:rPr>
          <w:b w:val="0"/>
          <w:i w:val="0"/>
          <w:color w:val="0B0B0B"/>
          <w:sz w:val="17"/>
        </w:rPr>
        <w:t>The single number that matters in this bridge: the model implies incremental renewable capacity earns about Rs.1.02cr of EBITDA per MW (Rs.12,438cr of additional EBITDA on 12,151MW of additional capacity), against Rs.0.70cr/MW for the FY26A renewable fleet as it stands. Management gave the benchmark explicitly on the Q4FY26 call: assume steady-state EBITDA of about Rs.75 lakh per MW — Rs.0.75cr/MW — for a fully available wind and solar portfolio. The model is therefore running incremental economics roughly 36% above the company's own stated steady-state figure for wind and solar. Part of that gap is defensible, because the incremental mix is richer than the existing one: hybrid capacity goes from 451MW to 4,798MW, FDRE and round-the-clock tenders price above plain solar, and 875MW of BESS plus 1,500MW of pumped storage carry different economics again. But applying management's Rs.0.75cr/MW to the 12,151MW of incremental capacity would produce roughly Rs.9,113cr of additional EBITDA rather than Rs.12,438cr — a Rs.3,325cr shortfall against FY30E, about 14% of forecast group EBITDA. This is the most consequential assumption in the model and the one to track quarter by quarter.</w:t>
      </w:r>
    </w:p>
    <w:p>
      <w:pPr>
        <w:keepNext/>
        <w:pBdr>
          <w:bottom w:val="single" w:sz="8" w:space="3" w:color="1F3864"/>
        </w:pBdr>
        <w:spacing w:before="240" w:after="40"/>
      </w:pPr>
      <w:r>
        <w:rPr>
          <w:b/>
          <w:color w:val="1F3864"/>
          <w:sz w:val="24"/>
        </w:rPr>
        <w:t>PART C — THE NUMBERS</w:t>
      </w:r>
    </w:p>
    <w:p>
      <w:pPr>
        <w:keepNext/>
        <w:spacing w:before="180" w:after="40"/>
      </w:pPr>
      <w:r>
        <w:rPr>
          <w:b/>
          <w:color w:val="1F3864"/>
          <w:sz w:val="21"/>
        </w:rPr>
        <w:t>12.  Investment Thesis</w:t>
      </w:r>
    </w:p>
    <w:p>
      <w:pPr>
        <w:spacing w:before="0" w:after="100"/>
      </w:pPr>
      <w:r>
        <w:rPr>
          <w:b/>
          <w:i w:val="0"/>
          <w:color w:val="1F3864"/>
          <w:sz w:val="17"/>
        </w:rPr>
        <w:t xml:space="preserve">The variant perception. </w:t>
      </w:r>
      <w:r>
        <w:rPr>
          <w:b w:val="0"/>
          <w:i w:val="0"/>
          <w:color w:val="0B0B0B"/>
          <w:sz w:val="17"/>
        </w:rPr>
        <w:t>The market is treating JSW Energy as a renewable compounder whose EBITDA more than doubles by FY30E and which therefore deserves a growth multiple — and it is right about the EBITDA. Where we differ is on who owns it: 92% of that growth is renewable capacity funded with debt, net debt reaches Rs.75,038cr by FY27E-end against Rs.15,942cr of FY28E EBITDA, and the equity is only 29% of enterprise value. The share price is therefore a geared bet on the exit multiple, not on the operations — and the multiple is already at +1 standard deviation of its own 16-year history.</w:t>
      </w:r>
    </w:p>
    <w:p>
      <w:pPr>
        <w:pStyle w:val="ListNumber"/>
        <w:spacing w:after="60"/>
        <w:ind w:left="340"/>
      </w:pPr>
      <w:r>
        <w:rPr>
          <w:b/>
          <w:sz w:val="17"/>
        </w:rPr>
        <w:t xml:space="preserve">The build is real, contracted and now funded. </w:t>
      </w:r>
      <w:r>
        <w:rPr>
          <w:sz w:val="17"/>
        </w:rPr>
        <w:t>Capacity goes from 13,454MW at FY26A to 25,905MW by FY30E and EBITDA from Rs.10,064cr to Rs.23,536cr, a 24% CAGR. Three independent facts now support it rather than one: 14GW is under construction with every megawatt tied under a long-term PPA; capital commitments contracted and not provided for stood at Rs.24,184cr in the audited FY26 accounts, up 2.7x; and 1,081MW has already commissioned since April 2026 against a 3,155MW FY27E requirement. The Rs.10,150cr of funding is raised. This is a construction schedule with dates, not a narrative.</w:t>
      </w:r>
    </w:p>
    <w:p>
      <w:pPr>
        <w:pStyle w:val="ListNumber"/>
        <w:spacing w:after="60"/>
        <w:ind w:left="340"/>
      </w:pPr>
      <w:r>
        <w:rPr>
          <w:b/>
          <w:sz w:val="17"/>
        </w:rPr>
        <w:t xml:space="preserve">The margin expansion is mechanical, not heroic. </w:t>
      </w:r>
      <w:r>
        <w:rPr>
          <w:sz w:val="17"/>
        </w:rPr>
        <w:t>Renewables converted 85% of revenue to EBITDA in FY26A against 49% for thermal, so consolidated margin rises from 53.2% to 59.6% by FY30E purely on mix. Section 16 shows the mechanism in the cost lines: fuel falls from 29.5% of revenue to 25.5% while nothing else moves much. This is arithmetic, not operating improvement.</w:t>
      </w:r>
    </w:p>
    <w:p>
      <w:pPr>
        <w:pStyle w:val="ListNumber"/>
        <w:spacing w:after="60"/>
        <w:ind w:left="340"/>
      </w:pPr>
      <w:r>
        <w:rPr>
          <w:b/>
          <w:sz w:val="17"/>
        </w:rPr>
        <w:t xml:space="preserve">But the equity is a thin, geared claim on that EBITDA. </w:t>
      </w:r>
      <w:r>
        <w:rPr>
          <w:sz w:val="17"/>
        </w:rPr>
        <w:t>At FY27E-end the model carries Rs.75,038cr of net debt, equal to 4.7x FY28E EBITDA. Every 1.0x of EV/EBITDA is worth Rs.87 per share, or 15.5% of the current price. At the 16-year mean multiple of 9.0x the stock is worth Rs.373; at the model's 11.9x it is worth Rs.625. Nothing about the operations changes between those two numbers.</w:t>
      </w:r>
    </w:p>
    <w:p>
      <w:pPr>
        <w:pStyle w:val="ListNumber"/>
        <w:spacing w:after="60"/>
        <w:ind w:left="340"/>
      </w:pPr>
      <w:r>
        <w:rPr>
          <w:b/>
          <w:sz w:val="17"/>
        </w:rPr>
        <w:t xml:space="preserve">And the returns still do not clear the cost of capital. </w:t>
      </w:r>
      <w:r>
        <w:rPr>
          <w:sz w:val="17"/>
        </w:rPr>
        <w:t>ROCE was 6.4% in FY26A and the model has it reaching 8.8% in FY30E. The same model discounts cash flows at a 10% WACC. Nine years of growth capex and the terminal return on capital is still below the cost of capital the analyst has assigned to it. That is not a reason to be short a well-contracted asset base, but it is a decisive reason not to pay a growth multiple for it.</w:t>
      </w:r>
    </w:p>
    <w:p>
      <w:pPr>
        <w:keepNext/>
        <w:spacing w:before="180" w:after="40"/>
      </w:pPr>
      <w:r>
        <w:rPr>
          <w:b/>
          <w:color w:val="1F3864"/>
          <w:sz w:val="21"/>
        </w:rPr>
        <w:t>13.  Key Model Assumptions</w:t>
      </w:r>
    </w:p>
    <w:tbl>
      <w:tblPr>
        <w:tblW w:w="10205"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3167"/>
        <w:gridCol w:w="1407"/>
        <w:gridCol w:w="1407"/>
        <w:gridCol w:w="1407"/>
        <w:gridCol w:w="1407"/>
        <w:gridCol w:w="1407"/>
      </w:tblGrid>
      <w:tr>
        <w:tc>
          <w:tcPr>
            <w:tcW w:type="dxa" w:w="3167"/>
            <w:shd w:val="clear" w:color="auto" w:fill="1F3864"/>
          </w:tcPr>
          <w:p>
            <w:pPr>
              <w:spacing w:before="50" w:after="50"/>
              <w:jc w:val="left"/>
            </w:pPr>
            <w:r>
              <w:rPr>
                <w:b/>
                <w:color w:val="FFFFFF"/>
                <w:sz w:val="15"/>
              </w:rPr>
              <w:t>Assumption</w:t>
            </w:r>
          </w:p>
        </w:tc>
        <w:tc>
          <w:tcPr>
            <w:tcW w:type="dxa" w:w="1408"/>
            <w:shd w:val="clear" w:color="auto" w:fill="1F3864"/>
          </w:tcPr>
          <w:p>
            <w:pPr>
              <w:spacing w:before="50" w:after="50"/>
              <w:jc w:val="right"/>
            </w:pPr>
            <w:r>
              <w:rPr>
                <w:b/>
                <w:color w:val="FFFFFF"/>
                <w:sz w:val="15"/>
              </w:rPr>
              <w:t>FY26A</w:t>
            </w:r>
          </w:p>
        </w:tc>
        <w:tc>
          <w:tcPr>
            <w:tcW w:type="dxa" w:w="1408"/>
            <w:shd w:val="clear" w:color="auto" w:fill="1F3864"/>
          </w:tcPr>
          <w:p>
            <w:pPr>
              <w:spacing w:before="50" w:after="50"/>
              <w:jc w:val="right"/>
            </w:pPr>
            <w:r>
              <w:rPr>
                <w:b/>
                <w:color w:val="FFFFFF"/>
                <w:sz w:val="15"/>
              </w:rPr>
              <w:t>FY27E</w:t>
            </w:r>
          </w:p>
        </w:tc>
        <w:tc>
          <w:tcPr>
            <w:tcW w:type="dxa" w:w="1408"/>
            <w:shd w:val="clear" w:color="auto" w:fill="1F3864"/>
          </w:tcPr>
          <w:p>
            <w:pPr>
              <w:spacing w:before="50" w:after="50"/>
              <w:jc w:val="right"/>
            </w:pPr>
            <w:r>
              <w:rPr>
                <w:b/>
                <w:color w:val="FFFFFF"/>
                <w:sz w:val="15"/>
              </w:rPr>
              <w:t>FY28E</w:t>
            </w:r>
          </w:p>
        </w:tc>
        <w:tc>
          <w:tcPr>
            <w:tcW w:type="dxa" w:w="1408"/>
            <w:shd w:val="clear" w:color="auto" w:fill="1F3864"/>
          </w:tcPr>
          <w:p>
            <w:pPr>
              <w:spacing w:before="50" w:after="50"/>
              <w:jc w:val="right"/>
            </w:pPr>
            <w:r>
              <w:rPr>
                <w:b/>
                <w:color w:val="FFFFFF"/>
                <w:sz w:val="15"/>
              </w:rPr>
              <w:t>FY29E</w:t>
            </w:r>
          </w:p>
        </w:tc>
        <w:tc>
          <w:tcPr>
            <w:tcW w:type="dxa" w:w="1408"/>
            <w:shd w:val="clear" w:color="auto" w:fill="1F3864"/>
          </w:tcPr>
          <w:p>
            <w:pPr>
              <w:spacing w:before="50" w:after="50"/>
              <w:jc w:val="right"/>
            </w:pPr>
            <w:r>
              <w:rPr>
                <w:b/>
                <w:color w:val="FFFFFF"/>
                <w:sz w:val="15"/>
              </w:rPr>
              <w:t>FY30E</w:t>
            </w:r>
          </w:p>
        </w:tc>
      </w:tr>
      <w:tr>
        <w:tc>
          <w:tcPr>
            <w:tcW w:type="dxa" w:w="3167"/>
          </w:tcPr>
          <w:p>
            <w:pPr>
              <w:spacing w:before="32" w:after="32" w:line="240" w:lineRule="auto"/>
              <w:jc w:val="left"/>
            </w:pPr>
            <w:r>
              <w:rPr>
                <w:b w:val="0"/>
                <w:color w:val="0B0B0B"/>
                <w:sz w:val="15"/>
              </w:rPr>
              <w:t>Total operational capacity (MW)</w:t>
            </w:r>
          </w:p>
        </w:tc>
        <w:tc>
          <w:tcPr>
            <w:tcW w:type="dxa" w:w="1408"/>
          </w:tcPr>
          <w:p>
            <w:pPr>
              <w:spacing w:before="32" w:after="32" w:line="240" w:lineRule="auto"/>
              <w:jc w:val="right"/>
            </w:pPr>
            <w:r>
              <w:rPr>
                <w:b w:val="0"/>
                <w:color w:val="0B0B0B"/>
                <w:sz w:val="15"/>
              </w:rPr>
              <w:t>13,454</w:t>
            </w:r>
          </w:p>
        </w:tc>
        <w:tc>
          <w:tcPr>
            <w:tcW w:type="dxa" w:w="1408"/>
          </w:tcPr>
          <w:p>
            <w:pPr>
              <w:spacing w:before="32" w:after="32" w:line="240" w:lineRule="auto"/>
              <w:jc w:val="right"/>
            </w:pPr>
            <w:r>
              <w:rPr>
                <w:b w:val="0"/>
                <w:color w:val="0B0B0B"/>
                <w:sz w:val="15"/>
              </w:rPr>
              <w:t>16,609</w:t>
            </w:r>
          </w:p>
        </w:tc>
        <w:tc>
          <w:tcPr>
            <w:tcW w:type="dxa" w:w="1408"/>
          </w:tcPr>
          <w:p>
            <w:pPr>
              <w:spacing w:before="32" w:after="32" w:line="240" w:lineRule="auto"/>
              <w:jc w:val="right"/>
            </w:pPr>
            <w:r>
              <w:rPr>
                <w:b w:val="0"/>
                <w:color w:val="0B0B0B"/>
                <w:sz w:val="15"/>
              </w:rPr>
              <w:t>19,996</w:t>
            </w:r>
          </w:p>
        </w:tc>
        <w:tc>
          <w:tcPr>
            <w:tcW w:type="dxa" w:w="1408"/>
          </w:tcPr>
          <w:p>
            <w:pPr>
              <w:spacing w:before="32" w:after="32" w:line="240" w:lineRule="auto"/>
              <w:jc w:val="right"/>
            </w:pPr>
            <w:r>
              <w:rPr>
                <w:b w:val="0"/>
                <w:color w:val="0B0B0B"/>
                <w:sz w:val="15"/>
              </w:rPr>
              <w:t>22,796</w:t>
            </w:r>
          </w:p>
        </w:tc>
        <w:tc>
          <w:tcPr>
            <w:tcW w:type="dxa" w:w="1408"/>
          </w:tcPr>
          <w:p>
            <w:pPr>
              <w:spacing w:before="32" w:after="32" w:line="240" w:lineRule="auto"/>
              <w:jc w:val="right"/>
            </w:pPr>
            <w:r>
              <w:rPr>
                <w:b w:val="0"/>
                <w:color w:val="0B0B0B"/>
                <w:sz w:val="15"/>
              </w:rPr>
              <w:t>25,905</w:t>
            </w:r>
          </w:p>
        </w:tc>
      </w:tr>
      <w:tr>
        <w:tc>
          <w:tcPr>
            <w:tcW w:type="dxa" w:w="3167"/>
            <w:shd w:val="clear" w:color="auto" w:fill="EEF3FA"/>
          </w:tcPr>
          <w:p>
            <w:pPr>
              <w:spacing w:before="32" w:after="32" w:line="240" w:lineRule="auto"/>
              <w:jc w:val="left"/>
            </w:pPr>
            <w:r>
              <w:rPr>
                <w:b w:val="0"/>
                <w:color w:val="0B0B0B"/>
                <w:sz w:val="15"/>
              </w:rPr>
              <w:t>— of which renewables (MW)</w:t>
            </w:r>
          </w:p>
        </w:tc>
        <w:tc>
          <w:tcPr>
            <w:tcW w:type="dxa" w:w="1408"/>
            <w:shd w:val="clear" w:color="auto" w:fill="EEF3FA"/>
          </w:tcPr>
          <w:p>
            <w:pPr>
              <w:spacing w:before="32" w:after="32" w:line="240" w:lineRule="auto"/>
              <w:jc w:val="right"/>
            </w:pPr>
            <w:r>
              <w:rPr>
                <w:b w:val="0"/>
                <w:color w:val="0B0B0B"/>
                <w:sz w:val="15"/>
              </w:rPr>
              <w:t>6,165</w:t>
            </w:r>
          </w:p>
        </w:tc>
        <w:tc>
          <w:tcPr>
            <w:tcW w:type="dxa" w:w="1408"/>
            <w:shd w:val="clear" w:color="auto" w:fill="EEF3FA"/>
          </w:tcPr>
          <w:p>
            <w:pPr>
              <w:spacing w:before="32" w:after="32" w:line="240" w:lineRule="auto"/>
              <w:jc w:val="right"/>
            </w:pPr>
            <w:r>
              <w:rPr>
                <w:b w:val="0"/>
                <w:color w:val="0B0B0B"/>
                <w:sz w:val="15"/>
              </w:rPr>
              <w:t>9,020</w:t>
            </w:r>
          </w:p>
        </w:tc>
        <w:tc>
          <w:tcPr>
            <w:tcW w:type="dxa" w:w="1408"/>
            <w:shd w:val="clear" w:color="auto" w:fill="EEF3FA"/>
          </w:tcPr>
          <w:p>
            <w:pPr>
              <w:spacing w:before="32" w:after="32" w:line="240" w:lineRule="auto"/>
              <w:jc w:val="right"/>
            </w:pPr>
            <w:r>
              <w:rPr>
                <w:b w:val="0"/>
                <w:color w:val="0B0B0B"/>
                <w:sz w:val="15"/>
              </w:rPr>
              <w:t>12,407</w:t>
            </w:r>
          </w:p>
        </w:tc>
        <w:tc>
          <w:tcPr>
            <w:tcW w:type="dxa" w:w="1408"/>
            <w:shd w:val="clear" w:color="auto" w:fill="EEF3FA"/>
          </w:tcPr>
          <w:p>
            <w:pPr>
              <w:spacing w:before="32" w:after="32" w:line="240" w:lineRule="auto"/>
              <w:jc w:val="right"/>
            </w:pPr>
            <w:r>
              <w:rPr>
                <w:b w:val="0"/>
                <w:color w:val="0B0B0B"/>
                <w:sz w:val="15"/>
              </w:rPr>
              <w:t>15,207</w:t>
            </w:r>
          </w:p>
        </w:tc>
        <w:tc>
          <w:tcPr>
            <w:tcW w:type="dxa" w:w="1408"/>
            <w:shd w:val="clear" w:color="auto" w:fill="EEF3FA"/>
          </w:tcPr>
          <w:p>
            <w:pPr>
              <w:spacing w:before="32" w:after="32" w:line="240" w:lineRule="auto"/>
              <w:jc w:val="right"/>
            </w:pPr>
            <w:r>
              <w:rPr>
                <w:b w:val="0"/>
                <w:color w:val="0B0B0B"/>
                <w:sz w:val="15"/>
              </w:rPr>
              <w:t>18,316</w:t>
            </w:r>
          </w:p>
        </w:tc>
      </w:tr>
      <w:tr>
        <w:tc>
          <w:tcPr>
            <w:tcW w:type="dxa" w:w="3167"/>
          </w:tcPr>
          <w:p>
            <w:pPr>
              <w:spacing w:before="32" w:after="32" w:line="240" w:lineRule="auto"/>
              <w:jc w:val="left"/>
            </w:pPr>
            <w:r>
              <w:rPr>
                <w:b w:val="0"/>
                <w:color w:val="0B0B0B"/>
                <w:sz w:val="15"/>
              </w:rPr>
              <w:t>Capacity added in year (MW)</w:t>
            </w:r>
          </w:p>
        </w:tc>
        <w:tc>
          <w:tcPr>
            <w:tcW w:type="dxa" w:w="1408"/>
          </w:tcPr>
          <w:p>
            <w:pPr>
              <w:spacing w:before="32" w:after="32" w:line="240" w:lineRule="auto"/>
              <w:jc w:val="right"/>
            </w:pPr>
            <w:r>
              <w:rPr>
                <w:b w:val="0"/>
                <w:color w:val="0B0B0B"/>
                <w:sz w:val="15"/>
              </w:rPr>
              <w:t>2,579</w:t>
            </w:r>
          </w:p>
        </w:tc>
        <w:tc>
          <w:tcPr>
            <w:tcW w:type="dxa" w:w="1408"/>
          </w:tcPr>
          <w:p>
            <w:pPr>
              <w:spacing w:before="32" w:after="32" w:line="240" w:lineRule="auto"/>
              <w:jc w:val="right"/>
            </w:pPr>
            <w:r>
              <w:rPr>
                <w:b w:val="0"/>
                <w:color w:val="0B0B0B"/>
                <w:sz w:val="15"/>
              </w:rPr>
              <w:t>3,155</w:t>
            </w:r>
          </w:p>
        </w:tc>
        <w:tc>
          <w:tcPr>
            <w:tcW w:type="dxa" w:w="1408"/>
          </w:tcPr>
          <w:p>
            <w:pPr>
              <w:spacing w:before="32" w:after="32" w:line="240" w:lineRule="auto"/>
              <w:jc w:val="right"/>
            </w:pPr>
            <w:r>
              <w:rPr>
                <w:b w:val="0"/>
                <w:color w:val="0B0B0B"/>
                <w:sz w:val="15"/>
              </w:rPr>
              <w:t>3,387</w:t>
            </w:r>
          </w:p>
        </w:tc>
        <w:tc>
          <w:tcPr>
            <w:tcW w:type="dxa" w:w="1408"/>
          </w:tcPr>
          <w:p>
            <w:pPr>
              <w:spacing w:before="32" w:after="32" w:line="240" w:lineRule="auto"/>
              <w:jc w:val="right"/>
            </w:pPr>
            <w:r>
              <w:rPr>
                <w:b w:val="0"/>
                <w:color w:val="0B0B0B"/>
                <w:sz w:val="15"/>
              </w:rPr>
              <w:t>2,800</w:t>
            </w:r>
          </w:p>
        </w:tc>
        <w:tc>
          <w:tcPr>
            <w:tcW w:type="dxa" w:w="1408"/>
          </w:tcPr>
          <w:p>
            <w:pPr>
              <w:spacing w:before="32" w:after="32" w:line="240" w:lineRule="auto"/>
              <w:jc w:val="right"/>
            </w:pPr>
            <w:r>
              <w:rPr>
                <w:b w:val="0"/>
                <w:color w:val="0B0B0B"/>
                <w:sz w:val="15"/>
              </w:rPr>
              <w:t>3,109</w:t>
            </w:r>
          </w:p>
        </w:tc>
      </w:tr>
      <w:tr>
        <w:tc>
          <w:tcPr>
            <w:tcW w:type="dxa" w:w="3167"/>
            <w:shd w:val="clear" w:color="auto" w:fill="EEF3FA"/>
          </w:tcPr>
          <w:p>
            <w:pPr>
              <w:spacing w:before="32" w:after="32" w:line="240" w:lineRule="auto"/>
              <w:jc w:val="left"/>
            </w:pPr>
            <w:r>
              <w:rPr>
                <w:b w:val="0"/>
                <w:color w:val="0B0B0B"/>
                <w:sz w:val="15"/>
              </w:rPr>
              <w:t>Storage (MW)</w:t>
            </w:r>
          </w:p>
        </w:tc>
        <w:tc>
          <w:tcPr>
            <w:tcW w:type="dxa" w:w="1408"/>
            <w:shd w:val="clear" w:color="auto" w:fill="EEF3FA"/>
          </w:tcPr>
          <w:p>
            <w:pPr>
              <w:spacing w:before="32" w:after="32" w:line="240" w:lineRule="auto"/>
              <w:jc w:val="right"/>
            </w:pPr>
            <w:r>
              <w:rPr>
                <w:b w:val="0"/>
                <w:color w:val="0B0B0B"/>
                <w:sz w:val="15"/>
              </w:rPr>
              <w:t>0</w:t>
            </w:r>
          </w:p>
        </w:tc>
        <w:tc>
          <w:tcPr>
            <w:tcW w:type="dxa" w:w="1408"/>
            <w:shd w:val="clear" w:color="auto" w:fill="EEF3FA"/>
          </w:tcPr>
          <w:p>
            <w:pPr>
              <w:spacing w:before="32" w:after="32" w:line="240" w:lineRule="auto"/>
              <w:jc w:val="right"/>
            </w:pPr>
            <w:r>
              <w:rPr>
                <w:b w:val="0"/>
                <w:color w:val="0B0B0B"/>
                <w:sz w:val="15"/>
              </w:rPr>
              <w:t>0</w:t>
            </w:r>
          </w:p>
        </w:tc>
        <w:tc>
          <w:tcPr>
            <w:tcW w:type="dxa" w:w="1408"/>
            <w:shd w:val="clear" w:color="auto" w:fill="EEF3FA"/>
          </w:tcPr>
          <w:p>
            <w:pPr>
              <w:spacing w:before="32" w:after="32" w:line="240" w:lineRule="auto"/>
              <w:jc w:val="right"/>
            </w:pPr>
            <w:r>
              <w:rPr>
                <w:b w:val="0"/>
                <w:color w:val="0B0B0B"/>
                <w:sz w:val="15"/>
              </w:rPr>
              <w:t>875</w:t>
            </w:r>
          </w:p>
        </w:tc>
        <w:tc>
          <w:tcPr>
            <w:tcW w:type="dxa" w:w="1408"/>
            <w:shd w:val="clear" w:color="auto" w:fill="EEF3FA"/>
          </w:tcPr>
          <w:p>
            <w:pPr>
              <w:spacing w:before="32" w:after="32" w:line="240" w:lineRule="auto"/>
              <w:jc w:val="right"/>
            </w:pPr>
            <w:r>
              <w:rPr>
                <w:b w:val="0"/>
                <w:color w:val="0B0B0B"/>
                <w:sz w:val="15"/>
              </w:rPr>
              <w:t>875</w:t>
            </w:r>
          </w:p>
        </w:tc>
        <w:tc>
          <w:tcPr>
            <w:tcW w:type="dxa" w:w="1408"/>
            <w:shd w:val="clear" w:color="auto" w:fill="EEF3FA"/>
          </w:tcPr>
          <w:p>
            <w:pPr>
              <w:spacing w:before="32" w:after="32" w:line="240" w:lineRule="auto"/>
              <w:jc w:val="right"/>
            </w:pPr>
            <w:r>
              <w:rPr>
                <w:b w:val="0"/>
                <w:color w:val="0B0B0B"/>
                <w:sz w:val="15"/>
              </w:rPr>
              <w:t>2,375</w:t>
            </w:r>
          </w:p>
        </w:tc>
      </w:tr>
      <w:tr>
        <w:tc>
          <w:tcPr>
            <w:tcW w:type="dxa" w:w="3167"/>
          </w:tcPr>
          <w:p>
            <w:pPr>
              <w:spacing w:before="32" w:after="32" w:line="240" w:lineRule="auto"/>
              <w:jc w:val="left"/>
            </w:pPr>
            <w:r>
              <w:rPr>
                <w:b w:val="0"/>
                <w:color w:val="0B0B0B"/>
                <w:sz w:val="15"/>
              </w:rPr>
              <w:t>Thermal PLF (KSK / Barmer / Ratnagiri)</w:t>
            </w:r>
          </w:p>
        </w:tc>
        <w:tc>
          <w:tcPr>
            <w:tcW w:type="dxa" w:w="1408"/>
          </w:tcPr>
          <w:p>
            <w:pPr>
              <w:spacing w:before="32" w:after="32" w:line="240" w:lineRule="auto"/>
              <w:jc w:val="right"/>
            </w:pPr>
            <w:r>
              <w:rPr>
                <w:b w:val="0"/>
                <w:color w:val="0B0B0B"/>
                <w:sz w:val="15"/>
              </w:rPr>
              <w:t>78 / 67 / 72%</w:t>
            </w:r>
          </w:p>
        </w:tc>
        <w:tc>
          <w:tcPr>
            <w:tcW w:type="dxa" w:w="1408"/>
          </w:tcPr>
          <w:p>
            <w:pPr>
              <w:spacing w:before="32" w:after="32" w:line="240" w:lineRule="auto"/>
              <w:jc w:val="right"/>
            </w:pPr>
            <w:r>
              <w:rPr>
                <w:b w:val="0"/>
                <w:color w:val="0B0B0B"/>
                <w:sz w:val="15"/>
              </w:rPr>
              <w:t>75 / 70 / 74%</w:t>
            </w:r>
          </w:p>
        </w:tc>
        <w:tc>
          <w:tcPr>
            <w:tcW w:type="dxa" w:w="1408"/>
          </w:tcPr>
          <w:p>
            <w:pPr>
              <w:spacing w:before="32" w:after="32" w:line="240" w:lineRule="auto"/>
              <w:jc w:val="right"/>
            </w:pPr>
            <w:r>
              <w:rPr>
                <w:b w:val="0"/>
                <w:color w:val="0B0B0B"/>
                <w:sz w:val="15"/>
              </w:rPr>
              <w:t>75 / 70 / 73%</w:t>
            </w:r>
          </w:p>
        </w:tc>
        <w:tc>
          <w:tcPr>
            <w:tcW w:type="dxa" w:w="1408"/>
          </w:tcPr>
          <w:p>
            <w:pPr>
              <w:spacing w:before="32" w:after="32" w:line="240" w:lineRule="auto"/>
              <w:jc w:val="right"/>
            </w:pPr>
            <w:r>
              <w:rPr>
                <w:b w:val="0"/>
                <w:color w:val="0B0B0B"/>
                <w:sz w:val="15"/>
              </w:rPr>
              <w:t>75 / 70 / 73%</w:t>
            </w:r>
          </w:p>
        </w:tc>
        <w:tc>
          <w:tcPr>
            <w:tcW w:type="dxa" w:w="1408"/>
          </w:tcPr>
          <w:p>
            <w:pPr>
              <w:spacing w:before="32" w:after="32" w:line="240" w:lineRule="auto"/>
              <w:jc w:val="right"/>
            </w:pPr>
            <w:r>
              <w:rPr>
                <w:b w:val="0"/>
                <w:color w:val="0B0B0B"/>
                <w:sz w:val="15"/>
              </w:rPr>
              <w:t>75 / 70 / 73%</w:t>
            </w:r>
          </w:p>
        </w:tc>
      </w:tr>
      <w:tr>
        <w:tc>
          <w:tcPr>
            <w:tcW w:type="dxa" w:w="3167"/>
            <w:shd w:val="clear" w:color="auto" w:fill="EEF3FA"/>
          </w:tcPr>
          <w:p>
            <w:pPr>
              <w:spacing w:before="32" w:after="32" w:line="240" w:lineRule="auto"/>
              <w:jc w:val="left"/>
            </w:pPr>
            <w:r>
              <w:rPr>
                <w:b w:val="0"/>
                <w:color w:val="0B0B0B"/>
                <w:sz w:val="15"/>
              </w:rPr>
              <w:t>Solar / wind PLF</w:t>
            </w:r>
          </w:p>
        </w:tc>
        <w:tc>
          <w:tcPr>
            <w:tcW w:type="dxa" w:w="1408"/>
            <w:shd w:val="clear" w:color="auto" w:fill="EEF3FA"/>
          </w:tcPr>
          <w:p>
            <w:pPr>
              <w:spacing w:before="32" w:after="32" w:line="240" w:lineRule="auto"/>
              <w:jc w:val="right"/>
            </w:pPr>
            <w:r>
              <w:rPr>
                <w:b w:val="0"/>
                <w:color w:val="0B0B0B"/>
                <w:sz w:val="15"/>
              </w:rPr>
              <w:t>21 / 25%</w:t>
            </w:r>
          </w:p>
        </w:tc>
        <w:tc>
          <w:tcPr>
            <w:tcW w:type="dxa" w:w="1408"/>
            <w:shd w:val="clear" w:color="auto" w:fill="EEF3FA"/>
          </w:tcPr>
          <w:p>
            <w:pPr>
              <w:spacing w:before="32" w:after="32" w:line="240" w:lineRule="auto"/>
              <w:jc w:val="right"/>
            </w:pPr>
            <w:r>
              <w:rPr>
                <w:b w:val="0"/>
                <w:color w:val="0B0B0B"/>
                <w:sz w:val="15"/>
              </w:rPr>
              <w:t>25 / 25%</w:t>
            </w:r>
          </w:p>
        </w:tc>
        <w:tc>
          <w:tcPr>
            <w:tcW w:type="dxa" w:w="1408"/>
            <w:shd w:val="clear" w:color="auto" w:fill="EEF3FA"/>
          </w:tcPr>
          <w:p>
            <w:pPr>
              <w:spacing w:before="32" w:after="32" w:line="240" w:lineRule="auto"/>
              <w:jc w:val="right"/>
            </w:pPr>
            <w:r>
              <w:rPr>
                <w:b w:val="0"/>
                <w:color w:val="0B0B0B"/>
                <w:sz w:val="15"/>
              </w:rPr>
              <w:t>25 / 25%</w:t>
            </w:r>
          </w:p>
        </w:tc>
        <w:tc>
          <w:tcPr>
            <w:tcW w:type="dxa" w:w="1408"/>
            <w:shd w:val="clear" w:color="auto" w:fill="EEF3FA"/>
          </w:tcPr>
          <w:p>
            <w:pPr>
              <w:spacing w:before="32" w:after="32" w:line="240" w:lineRule="auto"/>
              <w:jc w:val="right"/>
            </w:pPr>
            <w:r>
              <w:rPr>
                <w:b w:val="0"/>
                <w:color w:val="0B0B0B"/>
                <w:sz w:val="15"/>
              </w:rPr>
              <w:t>25 / 25%</w:t>
            </w:r>
          </w:p>
        </w:tc>
        <w:tc>
          <w:tcPr>
            <w:tcW w:type="dxa" w:w="1408"/>
            <w:shd w:val="clear" w:color="auto" w:fill="EEF3FA"/>
          </w:tcPr>
          <w:p>
            <w:pPr>
              <w:spacing w:before="32" w:after="32" w:line="240" w:lineRule="auto"/>
              <w:jc w:val="right"/>
            </w:pPr>
            <w:r>
              <w:rPr>
                <w:b w:val="0"/>
                <w:color w:val="0B0B0B"/>
                <w:sz w:val="15"/>
              </w:rPr>
              <w:t>25 / 25%</w:t>
            </w:r>
          </w:p>
        </w:tc>
      </w:tr>
      <w:tr>
        <w:tc>
          <w:tcPr>
            <w:tcW w:type="dxa" w:w="3167"/>
          </w:tcPr>
          <w:p>
            <w:pPr>
              <w:spacing w:before="32" w:after="32" w:line="240" w:lineRule="auto"/>
              <w:jc w:val="left"/>
            </w:pPr>
            <w:r>
              <w:rPr>
                <w:b w:val="0"/>
                <w:color w:val="0B0B0B"/>
                <w:sz w:val="15"/>
              </w:rPr>
              <w:t>Revenue growth — thermal</w:t>
            </w:r>
          </w:p>
        </w:tc>
        <w:tc>
          <w:tcPr>
            <w:tcW w:type="dxa" w:w="1408"/>
          </w:tcPr>
          <w:p>
            <w:pPr>
              <w:spacing w:before="32" w:after="32" w:line="240" w:lineRule="auto"/>
              <w:jc w:val="right"/>
            </w:pPr>
            <w:r>
              <w:rPr>
                <w:b w:val="0"/>
                <w:color w:val="0B0B0B"/>
                <w:sz w:val="15"/>
              </w:rPr>
              <w:t>63%</w:t>
            </w:r>
          </w:p>
        </w:tc>
        <w:tc>
          <w:tcPr>
            <w:tcW w:type="dxa" w:w="1408"/>
          </w:tcPr>
          <w:p>
            <w:pPr>
              <w:spacing w:before="32" w:after="32" w:line="240" w:lineRule="auto"/>
              <w:jc w:val="right"/>
            </w:pPr>
            <w:r>
              <w:rPr>
                <w:b w:val="0"/>
                <w:color w:val="0B0B0B"/>
                <w:sz w:val="15"/>
              </w:rPr>
              <w:t>25%</w:t>
            </w:r>
          </w:p>
        </w:tc>
        <w:tc>
          <w:tcPr>
            <w:tcW w:type="dxa" w:w="1408"/>
          </w:tcPr>
          <w:p>
            <w:pPr>
              <w:spacing w:before="32" w:after="32" w:line="240" w:lineRule="auto"/>
              <w:jc w:val="right"/>
            </w:pPr>
            <w:r>
              <w:rPr>
                <w:b w:val="0"/>
                <w:color w:val="0B0B0B"/>
                <w:sz w:val="15"/>
              </w:rPr>
              <w:t>2%</w:t>
            </w:r>
          </w:p>
        </w:tc>
        <w:tc>
          <w:tcPr>
            <w:tcW w:type="dxa" w:w="1408"/>
          </w:tcPr>
          <w:p>
            <w:pPr>
              <w:spacing w:before="32" w:after="32" w:line="240" w:lineRule="auto"/>
              <w:jc w:val="right"/>
            </w:pPr>
            <w:r>
              <w:rPr>
                <w:b w:val="0"/>
                <w:color w:val="0B0B0B"/>
                <w:sz w:val="15"/>
              </w:rPr>
              <w:t>n/d</w:t>
            </w:r>
          </w:p>
        </w:tc>
        <w:tc>
          <w:tcPr>
            <w:tcW w:type="dxa" w:w="1408"/>
          </w:tcPr>
          <w:p>
            <w:pPr>
              <w:spacing w:before="32" w:after="32" w:line="240" w:lineRule="auto"/>
              <w:jc w:val="right"/>
            </w:pPr>
            <w:r>
              <w:rPr>
                <w:b w:val="0"/>
                <w:color w:val="0B0B0B"/>
                <w:sz w:val="15"/>
              </w:rPr>
              <w:t>n/d</w:t>
            </w:r>
          </w:p>
        </w:tc>
      </w:tr>
      <w:tr>
        <w:tc>
          <w:tcPr>
            <w:tcW w:type="dxa" w:w="3167"/>
            <w:shd w:val="clear" w:color="auto" w:fill="EEF3FA"/>
          </w:tcPr>
          <w:p>
            <w:pPr>
              <w:spacing w:before="32" w:after="32" w:line="240" w:lineRule="auto"/>
              <w:jc w:val="left"/>
            </w:pPr>
            <w:r>
              <w:rPr>
                <w:b w:val="0"/>
                <w:color w:val="0B0B0B"/>
                <w:sz w:val="15"/>
              </w:rPr>
              <w:t>Revenue growth — renewables</w:t>
            </w:r>
          </w:p>
        </w:tc>
        <w:tc>
          <w:tcPr>
            <w:tcW w:type="dxa" w:w="1408"/>
            <w:shd w:val="clear" w:color="auto" w:fill="EEF3FA"/>
          </w:tcPr>
          <w:p>
            <w:pPr>
              <w:spacing w:before="32" w:after="32" w:line="240" w:lineRule="auto"/>
              <w:jc w:val="right"/>
            </w:pPr>
            <w:r>
              <w:rPr>
                <w:b w:val="0"/>
                <w:color w:val="0B0B0B"/>
                <w:sz w:val="15"/>
              </w:rPr>
              <w:t>93%</w:t>
            </w:r>
          </w:p>
        </w:tc>
        <w:tc>
          <w:tcPr>
            <w:tcW w:type="dxa" w:w="1408"/>
            <w:shd w:val="clear" w:color="auto" w:fill="EEF3FA"/>
          </w:tcPr>
          <w:p>
            <w:pPr>
              <w:spacing w:before="32" w:after="32" w:line="240" w:lineRule="auto"/>
              <w:jc w:val="right"/>
            </w:pPr>
            <w:r>
              <w:rPr>
                <w:b w:val="0"/>
                <w:color w:val="0B0B0B"/>
                <w:sz w:val="15"/>
              </w:rPr>
              <w:t>52%</w:t>
            </w:r>
          </w:p>
        </w:tc>
        <w:tc>
          <w:tcPr>
            <w:tcW w:type="dxa" w:w="1408"/>
            <w:shd w:val="clear" w:color="auto" w:fill="EEF3FA"/>
          </w:tcPr>
          <w:p>
            <w:pPr>
              <w:spacing w:before="32" w:after="32" w:line="240" w:lineRule="auto"/>
              <w:jc w:val="right"/>
            </w:pPr>
            <w:r>
              <w:rPr>
                <w:b w:val="0"/>
                <w:color w:val="0B0B0B"/>
                <w:sz w:val="15"/>
              </w:rPr>
              <w:t>44%</w:t>
            </w:r>
          </w:p>
        </w:tc>
        <w:tc>
          <w:tcPr>
            <w:tcW w:type="dxa" w:w="1408"/>
            <w:shd w:val="clear" w:color="auto" w:fill="EEF3FA"/>
          </w:tcPr>
          <w:p>
            <w:pPr>
              <w:spacing w:before="32" w:after="32" w:line="240" w:lineRule="auto"/>
              <w:jc w:val="right"/>
            </w:pPr>
            <w:r>
              <w:rPr>
                <w:b w:val="0"/>
                <w:color w:val="0B0B0B"/>
                <w:sz w:val="15"/>
              </w:rPr>
              <w:t>n/d</w:t>
            </w:r>
          </w:p>
        </w:tc>
        <w:tc>
          <w:tcPr>
            <w:tcW w:type="dxa" w:w="1408"/>
            <w:shd w:val="clear" w:color="auto" w:fill="EEF3FA"/>
          </w:tcPr>
          <w:p>
            <w:pPr>
              <w:spacing w:before="32" w:after="32" w:line="240" w:lineRule="auto"/>
              <w:jc w:val="right"/>
            </w:pPr>
            <w:r>
              <w:rPr>
                <w:b w:val="0"/>
                <w:color w:val="0B0B0B"/>
                <w:sz w:val="15"/>
              </w:rPr>
              <w:t>n/d</w:t>
            </w:r>
          </w:p>
        </w:tc>
      </w:tr>
      <w:tr>
        <w:tc>
          <w:tcPr>
            <w:tcW w:type="dxa" w:w="3167"/>
          </w:tcPr>
          <w:p>
            <w:pPr>
              <w:spacing w:before="32" w:after="32" w:line="240" w:lineRule="auto"/>
              <w:jc w:val="left"/>
            </w:pPr>
            <w:r>
              <w:rPr>
                <w:b w:val="0"/>
                <w:color w:val="0B0B0B"/>
                <w:sz w:val="15"/>
              </w:rPr>
              <w:t>Revenue growth — consolidated</w:t>
            </w:r>
          </w:p>
        </w:tc>
        <w:tc>
          <w:tcPr>
            <w:tcW w:type="dxa" w:w="1408"/>
          </w:tcPr>
          <w:p>
            <w:pPr>
              <w:spacing w:before="32" w:after="32" w:line="240" w:lineRule="auto"/>
              <w:jc w:val="right"/>
            </w:pPr>
            <w:r>
              <w:rPr>
                <w:b w:val="0"/>
                <w:color w:val="0B0B0B"/>
                <w:sz w:val="15"/>
              </w:rPr>
              <w:t>61%</w:t>
            </w:r>
          </w:p>
        </w:tc>
        <w:tc>
          <w:tcPr>
            <w:tcW w:type="dxa" w:w="1408"/>
          </w:tcPr>
          <w:p>
            <w:pPr>
              <w:spacing w:before="32" w:after="32" w:line="240" w:lineRule="auto"/>
              <w:jc w:val="right"/>
            </w:pPr>
            <w:r>
              <w:rPr>
                <w:b w:val="0"/>
                <w:color w:val="0B0B0B"/>
                <w:sz w:val="15"/>
              </w:rPr>
              <w:t>40%</w:t>
            </w:r>
          </w:p>
        </w:tc>
        <w:tc>
          <w:tcPr>
            <w:tcW w:type="dxa" w:w="1408"/>
          </w:tcPr>
          <w:p>
            <w:pPr>
              <w:spacing w:before="32" w:after="32" w:line="240" w:lineRule="auto"/>
              <w:jc w:val="right"/>
            </w:pPr>
            <w:r>
              <w:rPr>
                <w:b w:val="0"/>
                <w:color w:val="0B0B0B"/>
                <w:sz w:val="15"/>
              </w:rPr>
              <w:t>14%</w:t>
            </w:r>
          </w:p>
        </w:tc>
        <w:tc>
          <w:tcPr>
            <w:tcW w:type="dxa" w:w="1408"/>
          </w:tcPr>
          <w:p>
            <w:pPr>
              <w:spacing w:before="32" w:after="32" w:line="240" w:lineRule="auto"/>
              <w:jc w:val="right"/>
            </w:pPr>
            <w:r>
              <w:rPr>
                <w:b w:val="0"/>
                <w:color w:val="0B0B0B"/>
                <w:sz w:val="15"/>
              </w:rPr>
              <w:t>17%</w:t>
            </w:r>
          </w:p>
        </w:tc>
        <w:tc>
          <w:tcPr>
            <w:tcW w:type="dxa" w:w="1408"/>
          </w:tcPr>
          <w:p>
            <w:pPr>
              <w:spacing w:before="32" w:after="32" w:line="240" w:lineRule="auto"/>
              <w:jc w:val="right"/>
            </w:pPr>
            <w:r>
              <w:rPr>
                <w:b w:val="0"/>
                <w:color w:val="0B0B0B"/>
                <w:sz w:val="15"/>
              </w:rPr>
              <w:t>11%</w:t>
            </w:r>
          </w:p>
        </w:tc>
      </w:tr>
      <w:tr>
        <w:tc>
          <w:tcPr>
            <w:tcW w:type="dxa" w:w="3167"/>
            <w:shd w:val="clear" w:color="auto" w:fill="EEF3FA"/>
          </w:tcPr>
          <w:p>
            <w:pPr>
              <w:spacing w:before="32" w:after="32" w:line="240" w:lineRule="auto"/>
              <w:jc w:val="left"/>
            </w:pPr>
            <w:r>
              <w:rPr>
                <w:b w:val="0"/>
                <w:color w:val="0B0B0B"/>
                <w:sz w:val="15"/>
              </w:rPr>
              <w:t>EBITDA margin</w:t>
            </w:r>
          </w:p>
        </w:tc>
        <w:tc>
          <w:tcPr>
            <w:tcW w:type="dxa" w:w="1408"/>
            <w:shd w:val="clear" w:color="auto" w:fill="EEF3FA"/>
          </w:tcPr>
          <w:p>
            <w:pPr>
              <w:spacing w:before="32" w:after="32" w:line="240" w:lineRule="auto"/>
              <w:jc w:val="right"/>
            </w:pPr>
            <w:r>
              <w:rPr>
                <w:b w:val="0"/>
                <w:color w:val="0B0B0B"/>
                <w:sz w:val="15"/>
              </w:rPr>
              <w:t>53.2%</w:t>
            </w:r>
          </w:p>
        </w:tc>
        <w:tc>
          <w:tcPr>
            <w:tcW w:type="dxa" w:w="1408"/>
            <w:shd w:val="clear" w:color="auto" w:fill="EEF3FA"/>
          </w:tcPr>
          <w:p>
            <w:pPr>
              <w:spacing w:before="32" w:after="32" w:line="240" w:lineRule="auto"/>
              <w:jc w:val="right"/>
            </w:pPr>
            <w:r>
              <w:rPr>
                <w:b w:val="0"/>
                <w:color w:val="0B0B0B"/>
                <w:sz w:val="15"/>
              </w:rPr>
              <w:t>48.8%</w:t>
            </w:r>
          </w:p>
        </w:tc>
        <w:tc>
          <w:tcPr>
            <w:tcW w:type="dxa" w:w="1408"/>
            <w:shd w:val="clear" w:color="auto" w:fill="EEF3FA"/>
          </w:tcPr>
          <w:p>
            <w:pPr>
              <w:spacing w:before="32" w:after="32" w:line="240" w:lineRule="auto"/>
              <w:jc w:val="right"/>
            </w:pPr>
            <w:r>
              <w:rPr>
                <w:b w:val="0"/>
                <w:color w:val="0B0B0B"/>
                <w:sz w:val="15"/>
              </w:rPr>
              <w:t>52.5%</w:t>
            </w:r>
          </w:p>
        </w:tc>
        <w:tc>
          <w:tcPr>
            <w:tcW w:type="dxa" w:w="1408"/>
            <w:shd w:val="clear" w:color="auto" w:fill="EEF3FA"/>
          </w:tcPr>
          <w:p>
            <w:pPr>
              <w:spacing w:before="32" w:after="32" w:line="240" w:lineRule="auto"/>
              <w:jc w:val="right"/>
            </w:pPr>
            <w:r>
              <w:rPr>
                <w:b w:val="0"/>
                <w:color w:val="0B0B0B"/>
                <w:sz w:val="15"/>
              </w:rPr>
              <w:t>56.9%</w:t>
            </w:r>
          </w:p>
        </w:tc>
        <w:tc>
          <w:tcPr>
            <w:tcW w:type="dxa" w:w="1408"/>
            <w:shd w:val="clear" w:color="auto" w:fill="EEF3FA"/>
          </w:tcPr>
          <w:p>
            <w:pPr>
              <w:spacing w:before="32" w:after="32" w:line="240" w:lineRule="auto"/>
              <w:jc w:val="right"/>
            </w:pPr>
            <w:r>
              <w:rPr>
                <w:b w:val="0"/>
                <w:color w:val="0B0B0B"/>
                <w:sz w:val="15"/>
              </w:rPr>
              <w:t>59.6%</w:t>
            </w:r>
          </w:p>
        </w:tc>
      </w:tr>
      <w:tr>
        <w:tc>
          <w:tcPr>
            <w:tcW w:type="dxa" w:w="3167"/>
          </w:tcPr>
          <w:p>
            <w:pPr>
              <w:spacing w:before="32" w:after="32" w:line="240" w:lineRule="auto"/>
              <w:jc w:val="left"/>
            </w:pPr>
            <w:r>
              <w:rPr>
                <w:b w:val="0"/>
                <w:color w:val="0B0B0B"/>
                <w:sz w:val="15"/>
              </w:rPr>
              <w:t>Fuel cost as % of revenue</w:t>
            </w:r>
          </w:p>
        </w:tc>
        <w:tc>
          <w:tcPr>
            <w:tcW w:type="dxa" w:w="1408"/>
          </w:tcPr>
          <w:p>
            <w:pPr>
              <w:spacing w:before="32" w:after="32" w:line="240" w:lineRule="auto"/>
              <w:jc w:val="right"/>
            </w:pPr>
            <w:r>
              <w:rPr>
                <w:b w:val="0"/>
                <w:color w:val="0B0B0B"/>
                <w:sz w:val="15"/>
              </w:rPr>
              <w:t>29.5%</w:t>
            </w:r>
          </w:p>
        </w:tc>
        <w:tc>
          <w:tcPr>
            <w:tcW w:type="dxa" w:w="1408"/>
          </w:tcPr>
          <w:p>
            <w:pPr>
              <w:spacing w:before="32" w:after="32" w:line="240" w:lineRule="auto"/>
              <w:jc w:val="right"/>
            </w:pPr>
            <w:r>
              <w:rPr>
                <w:b w:val="0"/>
                <w:color w:val="0B0B0B"/>
                <w:sz w:val="15"/>
              </w:rPr>
              <w:t>32.3%</w:t>
            </w:r>
          </w:p>
        </w:tc>
        <w:tc>
          <w:tcPr>
            <w:tcW w:type="dxa" w:w="1408"/>
          </w:tcPr>
          <w:p>
            <w:pPr>
              <w:spacing w:before="32" w:after="32" w:line="240" w:lineRule="auto"/>
              <w:jc w:val="right"/>
            </w:pPr>
            <w:r>
              <w:rPr>
                <w:b w:val="0"/>
                <w:color w:val="0B0B0B"/>
                <w:sz w:val="15"/>
              </w:rPr>
              <w:t>30.0%</w:t>
            </w:r>
          </w:p>
        </w:tc>
        <w:tc>
          <w:tcPr>
            <w:tcW w:type="dxa" w:w="1408"/>
          </w:tcPr>
          <w:p>
            <w:pPr>
              <w:spacing w:before="32" w:after="32" w:line="240" w:lineRule="auto"/>
              <w:jc w:val="right"/>
            </w:pPr>
            <w:r>
              <w:rPr>
                <w:b w:val="0"/>
                <w:color w:val="0B0B0B"/>
                <w:sz w:val="15"/>
              </w:rPr>
              <w:t>27.2%</w:t>
            </w:r>
          </w:p>
        </w:tc>
        <w:tc>
          <w:tcPr>
            <w:tcW w:type="dxa" w:w="1408"/>
          </w:tcPr>
          <w:p>
            <w:pPr>
              <w:spacing w:before="32" w:after="32" w:line="240" w:lineRule="auto"/>
              <w:jc w:val="right"/>
            </w:pPr>
            <w:r>
              <w:rPr>
                <w:b w:val="0"/>
                <w:color w:val="0B0B0B"/>
                <w:sz w:val="15"/>
              </w:rPr>
              <w:t>25.5%</w:t>
            </w:r>
          </w:p>
        </w:tc>
      </w:tr>
      <w:tr>
        <w:tc>
          <w:tcPr>
            <w:tcW w:type="dxa" w:w="3167"/>
            <w:shd w:val="clear" w:color="auto" w:fill="EEF3FA"/>
          </w:tcPr>
          <w:p>
            <w:pPr>
              <w:spacing w:before="32" w:after="32" w:line="240" w:lineRule="auto"/>
              <w:jc w:val="left"/>
            </w:pPr>
            <w:r>
              <w:rPr>
                <w:b w:val="0"/>
                <w:color w:val="0B0B0B"/>
                <w:sz w:val="15"/>
              </w:rPr>
              <w:t>Staff + other cost growth</w:t>
            </w:r>
          </w:p>
        </w:tc>
        <w:tc>
          <w:tcPr>
            <w:tcW w:type="dxa" w:w="1408"/>
            <w:shd w:val="clear" w:color="auto" w:fill="EEF3FA"/>
          </w:tcPr>
          <w:p>
            <w:pPr>
              <w:spacing w:before="32" w:after="32" w:line="240" w:lineRule="auto"/>
              <w:jc w:val="right"/>
            </w:pPr>
            <w:r>
              <w:rPr>
                <w:b w:val="0"/>
                <w:color w:val="0B0B0B"/>
                <w:sz w:val="15"/>
              </w:rPr>
              <w:t>63%</w:t>
            </w:r>
          </w:p>
        </w:tc>
        <w:tc>
          <w:tcPr>
            <w:tcW w:type="dxa" w:w="1408"/>
            <w:shd w:val="clear" w:color="auto" w:fill="EEF3FA"/>
          </w:tcPr>
          <w:p>
            <w:pPr>
              <w:spacing w:before="32" w:after="32" w:line="240" w:lineRule="auto"/>
              <w:jc w:val="right"/>
            </w:pPr>
            <w:r>
              <w:rPr>
                <w:b w:val="0"/>
                <w:color w:val="0B0B0B"/>
                <w:sz w:val="15"/>
              </w:rPr>
              <w:t>48%</w:t>
            </w:r>
          </w:p>
        </w:tc>
        <w:tc>
          <w:tcPr>
            <w:tcW w:type="dxa" w:w="1408"/>
            <w:shd w:val="clear" w:color="auto" w:fill="EEF3FA"/>
          </w:tcPr>
          <w:p>
            <w:pPr>
              <w:spacing w:before="32" w:after="32" w:line="240" w:lineRule="auto"/>
              <w:jc w:val="right"/>
            </w:pPr>
            <w:r>
              <w:rPr>
                <w:b w:val="0"/>
                <w:color w:val="0B0B0B"/>
                <w:sz w:val="15"/>
              </w:rPr>
              <w:t>3%</w:t>
            </w:r>
          </w:p>
        </w:tc>
        <w:tc>
          <w:tcPr>
            <w:tcW w:type="dxa" w:w="1408"/>
            <w:shd w:val="clear" w:color="auto" w:fill="EEF3FA"/>
          </w:tcPr>
          <w:p>
            <w:pPr>
              <w:spacing w:before="32" w:after="32" w:line="240" w:lineRule="auto"/>
              <w:jc w:val="right"/>
            </w:pPr>
            <w:r>
              <w:rPr>
                <w:b w:val="0"/>
                <w:color w:val="0B0B0B"/>
                <w:sz w:val="15"/>
              </w:rPr>
              <w:t>6%</w:t>
            </w:r>
          </w:p>
        </w:tc>
        <w:tc>
          <w:tcPr>
            <w:tcW w:type="dxa" w:w="1408"/>
            <w:shd w:val="clear" w:color="auto" w:fill="EEF3FA"/>
          </w:tcPr>
          <w:p>
            <w:pPr>
              <w:spacing w:before="32" w:after="32" w:line="240" w:lineRule="auto"/>
              <w:jc w:val="right"/>
            </w:pPr>
            <w:r>
              <w:rPr>
                <w:b w:val="0"/>
                <w:color w:val="0B0B0B"/>
                <w:sz w:val="15"/>
              </w:rPr>
              <w:t>4%</w:t>
            </w:r>
          </w:p>
        </w:tc>
      </w:tr>
      <w:tr>
        <w:tc>
          <w:tcPr>
            <w:tcW w:type="dxa" w:w="3167"/>
          </w:tcPr>
          <w:p>
            <w:pPr>
              <w:spacing w:before="32" w:after="32" w:line="240" w:lineRule="auto"/>
              <w:jc w:val="left"/>
            </w:pPr>
            <w:r>
              <w:rPr>
                <w:b w:val="0"/>
                <w:color w:val="0B0B0B"/>
                <w:sz w:val="15"/>
              </w:rPr>
              <w:t>Effective tax rate (model)</w:t>
            </w:r>
          </w:p>
        </w:tc>
        <w:tc>
          <w:tcPr>
            <w:tcW w:type="dxa" w:w="1408"/>
          </w:tcPr>
          <w:p>
            <w:pPr>
              <w:spacing w:before="32" w:after="32" w:line="240" w:lineRule="auto"/>
              <w:jc w:val="right"/>
            </w:pPr>
            <w:r>
              <w:rPr>
                <w:b w:val="0"/>
                <w:color w:val="0B0B0B"/>
                <w:sz w:val="15"/>
              </w:rPr>
              <w:t>(39.3%)</w:t>
            </w:r>
          </w:p>
        </w:tc>
        <w:tc>
          <w:tcPr>
            <w:tcW w:type="dxa" w:w="1408"/>
          </w:tcPr>
          <w:p>
            <w:pPr>
              <w:spacing w:before="32" w:after="32" w:line="240" w:lineRule="auto"/>
              <w:jc w:val="right"/>
            </w:pPr>
            <w:r>
              <w:rPr>
                <w:b w:val="0"/>
                <w:color w:val="0B0B0B"/>
                <w:sz w:val="15"/>
              </w:rPr>
              <w:t>25.0%</w:t>
            </w:r>
          </w:p>
        </w:tc>
        <w:tc>
          <w:tcPr>
            <w:tcW w:type="dxa" w:w="1408"/>
          </w:tcPr>
          <w:p>
            <w:pPr>
              <w:spacing w:before="32" w:after="32" w:line="240" w:lineRule="auto"/>
              <w:jc w:val="right"/>
            </w:pPr>
            <w:r>
              <w:rPr>
                <w:b w:val="0"/>
                <w:color w:val="0B0B0B"/>
                <w:sz w:val="15"/>
              </w:rPr>
              <w:t>25.0%</w:t>
            </w:r>
          </w:p>
        </w:tc>
        <w:tc>
          <w:tcPr>
            <w:tcW w:type="dxa" w:w="1408"/>
          </w:tcPr>
          <w:p>
            <w:pPr>
              <w:spacing w:before="32" w:after="32" w:line="240" w:lineRule="auto"/>
              <w:jc w:val="right"/>
            </w:pPr>
            <w:r>
              <w:rPr>
                <w:b w:val="0"/>
                <w:color w:val="0B0B0B"/>
                <w:sz w:val="15"/>
              </w:rPr>
              <w:t>25.0%</w:t>
            </w:r>
          </w:p>
        </w:tc>
        <w:tc>
          <w:tcPr>
            <w:tcW w:type="dxa" w:w="1408"/>
          </w:tcPr>
          <w:p>
            <w:pPr>
              <w:spacing w:before="32" w:after="32" w:line="240" w:lineRule="auto"/>
              <w:jc w:val="right"/>
            </w:pPr>
            <w:r>
              <w:rPr>
                <w:b w:val="0"/>
                <w:color w:val="0B0B0B"/>
                <w:sz w:val="15"/>
              </w:rPr>
              <w:t>25.0%</w:t>
            </w:r>
          </w:p>
        </w:tc>
      </w:tr>
      <w:tr>
        <w:tc>
          <w:tcPr>
            <w:tcW w:type="dxa" w:w="3167"/>
            <w:shd w:val="clear" w:color="auto" w:fill="EEF3FA"/>
          </w:tcPr>
          <w:p>
            <w:pPr>
              <w:spacing w:before="32" w:after="32" w:line="240" w:lineRule="auto"/>
              <w:jc w:val="left"/>
            </w:pPr>
            <w:r>
              <w:rPr>
                <w:b w:val="0"/>
                <w:color w:val="0B0B0B"/>
                <w:sz w:val="15"/>
              </w:rPr>
              <w:t>— management guidance</w:t>
            </w:r>
          </w:p>
        </w:tc>
        <w:tc>
          <w:tcPr>
            <w:tcW w:type="dxa" w:w="1408"/>
            <w:shd w:val="clear" w:color="auto" w:fill="EEF3FA"/>
          </w:tcPr>
          <w:p>
            <w:pPr>
              <w:spacing w:before="32" w:after="32" w:line="240" w:lineRule="auto"/>
              <w:jc w:val="right"/>
            </w:pPr>
            <w:r>
              <w:rPr>
                <w:b w:val="0"/>
                <w:color w:val="0B0B0B"/>
                <w:sz w:val="15"/>
              </w:rPr>
              <w:t>—</w:t>
            </w:r>
          </w:p>
        </w:tc>
        <w:tc>
          <w:tcPr>
            <w:tcW w:type="dxa" w:w="1408"/>
            <w:shd w:val="clear" w:color="auto" w:fill="EEF3FA"/>
          </w:tcPr>
          <w:p>
            <w:pPr>
              <w:spacing w:before="32" w:after="32" w:line="240" w:lineRule="auto"/>
              <w:jc w:val="right"/>
            </w:pPr>
            <w:r>
              <w:rPr>
                <w:b w:val="0"/>
                <w:color w:val="0B0B0B"/>
                <w:sz w:val="15"/>
              </w:rPr>
              <w:t>23–24%</w:t>
            </w:r>
          </w:p>
        </w:tc>
        <w:tc>
          <w:tcPr>
            <w:tcW w:type="dxa" w:w="1408"/>
            <w:shd w:val="clear" w:color="auto" w:fill="EEF3FA"/>
          </w:tcPr>
          <w:p>
            <w:pPr>
              <w:spacing w:before="32" w:after="32" w:line="240" w:lineRule="auto"/>
              <w:jc w:val="right"/>
            </w:pPr>
            <w:r>
              <w:rPr>
                <w:b w:val="0"/>
                <w:color w:val="0B0B0B"/>
                <w:sz w:val="15"/>
              </w:rPr>
              <w:t>23–24%</w:t>
            </w:r>
          </w:p>
        </w:tc>
        <w:tc>
          <w:tcPr>
            <w:tcW w:type="dxa" w:w="1408"/>
            <w:shd w:val="clear" w:color="auto" w:fill="EEF3FA"/>
          </w:tcPr>
          <w:p>
            <w:pPr>
              <w:spacing w:before="32" w:after="32" w:line="240" w:lineRule="auto"/>
              <w:jc w:val="right"/>
            </w:pPr>
            <w:r>
              <w:rPr>
                <w:b w:val="0"/>
                <w:color w:val="0B0B0B"/>
                <w:sz w:val="15"/>
              </w:rPr>
              <w:t>23–24%</w:t>
            </w:r>
          </w:p>
        </w:tc>
        <w:tc>
          <w:tcPr>
            <w:tcW w:type="dxa" w:w="1408"/>
            <w:shd w:val="clear" w:color="auto" w:fill="EEF3FA"/>
          </w:tcPr>
          <w:p>
            <w:pPr>
              <w:spacing w:before="32" w:after="32" w:line="240" w:lineRule="auto"/>
              <w:jc w:val="right"/>
            </w:pPr>
            <w:r>
              <w:rPr>
                <w:b w:val="0"/>
                <w:color w:val="0B0B0B"/>
                <w:sz w:val="15"/>
              </w:rPr>
              <w:t>23–24%</w:t>
            </w:r>
          </w:p>
        </w:tc>
      </w:tr>
      <w:tr>
        <w:tc>
          <w:tcPr>
            <w:tcW w:type="dxa" w:w="3167"/>
          </w:tcPr>
          <w:p>
            <w:pPr>
              <w:spacing w:before="32" w:after="32" w:line="240" w:lineRule="auto"/>
              <w:jc w:val="left"/>
            </w:pPr>
            <w:r>
              <w:rPr>
                <w:b w:val="0"/>
                <w:color w:val="0B0B0B"/>
                <w:sz w:val="15"/>
              </w:rPr>
              <w:t>Capex (Rs.cr)</w:t>
            </w:r>
          </w:p>
        </w:tc>
        <w:tc>
          <w:tcPr>
            <w:tcW w:type="dxa" w:w="1408"/>
          </w:tcPr>
          <w:p>
            <w:pPr>
              <w:spacing w:before="32" w:after="32" w:line="240" w:lineRule="auto"/>
              <w:jc w:val="right"/>
            </w:pPr>
            <w:r>
              <w:rPr>
                <w:b w:val="0"/>
                <w:color w:val="0B0B0B"/>
                <w:sz w:val="15"/>
              </w:rPr>
              <w:t>10,112</w:t>
            </w:r>
          </w:p>
        </w:tc>
        <w:tc>
          <w:tcPr>
            <w:tcW w:type="dxa" w:w="1408"/>
          </w:tcPr>
          <w:p>
            <w:pPr>
              <w:spacing w:before="32" w:after="32" w:line="240" w:lineRule="auto"/>
              <w:jc w:val="right"/>
            </w:pPr>
            <w:r>
              <w:rPr>
                <w:b w:val="0"/>
                <w:color w:val="0B0B0B"/>
                <w:sz w:val="15"/>
              </w:rPr>
              <w:t>21,229</w:t>
            </w:r>
          </w:p>
        </w:tc>
        <w:tc>
          <w:tcPr>
            <w:tcW w:type="dxa" w:w="1408"/>
          </w:tcPr>
          <w:p>
            <w:pPr>
              <w:spacing w:before="32" w:after="32" w:line="240" w:lineRule="auto"/>
              <w:jc w:val="right"/>
            </w:pPr>
            <w:r>
              <w:rPr>
                <w:b w:val="0"/>
                <w:color w:val="0B0B0B"/>
                <w:sz w:val="15"/>
              </w:rPr>
              <w:t>21,864</w:t>
            </w:r>
          </w:p>
        </w:tc>
        <w:tc>
          <w:tcPr>
            <w:tcW w:type="dxa" w:w="1408"/>
          </w:tcPr>
          <w:p>
            <w:pPr>
              <w:spacing w:before="32" w:after="32" w:line="240" w:lineRule="auto"/>
              <w:jc w:val="right"/>
            </w:pPr>
            <w:r>
              <w:rPr>
                <w:b w:val="0"/>
                <w:color w:val="0B0B0B"/>
                <w:sz w:val="15"/>
              </w:rPr>
              <w:t>21,656</w:t>
            </w:r>
          </w:p>
        </w:tc>
        <w:tc>
          <w:tcPr>
            <w:tcW w:type="dxa" w:w="1408"/>
          </w:tcPr>
          <w:p>
            <w:pPr>
              <w:spacing w:before="32" w:after="32" w:line="240" w:lineRule="auto"/>
              <w:jc w:val="right"/>
            </w:pPr>
            <w:r>
              <w:rPr>
                <w:b w:val="0"/>
                <w:color w:val="0B0B0B"/>
                <w:sz w:val="15"/>
              </w:rPr>
              <w:t>24,816</w:t>
            </w:r>
          </w:p>
        </w:tc>
      </w:tr>
      <w:tr>
        <w:tc>
          <w:tcPr>
            <w:tcW w:type="dxa" w:w="3167"/>
            <w:shd w:val="clear" w:color="auto" w:fill="EEF3FA"/>
          </w:tcPr>
          <w:p>
            <w:pPr>
              <w:spacing w:before="32" w:after="32" w:line="240" w:lineRule="auto"/>
              <w:jc w:val="left"/>
            </w:pPr>
            <w:r>
              <w:rPr>
                <w:b w:val="0"/>
                <w:color w:val="0B0B0B"/>
                <w:sz w:val="15"/>
              </w:rPr>
              <w:t>Working capital days</w:t>
            </w:r>
          </w:p>
        </w:tc>
        <w:tc>
          <w:tcPr>
            <w:tcW w:type="dxa" w:w="1408"/>
            <w:shd w:val="clear" w:color="auto" w:fill="EEF3FA"/>
          </w:tcPr>
          <w:p>
            <w:pPr>
              <w:spacing w:before="32" w:after="32" w:line="240" w:lineRule="auto"/>
              <w:jc w:val="right"/>
            </w:pPr>
            <w:r>
              <w:rPr>
                <w:b w:val="0"/>
                <w:color w:val="0B0B0B"/>
                <w:sz w:val="15"/>
              </w:rPr>
              <w:t>44.6</w:t>
            </w:r>
          </w:p>
        </w:tc>
        <w:tc>
          <w:tcPr>
            <w:tcW w:type="dxa" w:w="1408"/>
            <w:shd w:val="clear" w:color="auto" w:fill="EEF3FA"/>
          </w:tcPr>
          <w:p>
            <w:pPr>
              <w:spacing w:before="32" w:after="32" w:line="240" w:lineRule="auto"/>
              <w:jc w:val="right"/>
            </w:pPr>
            <w:r>
              <w:rPr>
                <w:b w:val="0"/>
                <w:color w:val="0B0B0B"/>
                <w:sz w:val="15"/>
              </w:rPr>
              <w:t>38.0</w:t>
            </w:r>
          </w:p>
        </w:tc>
        <w:tc>
          <w:tcPr>
            <w:tcW w:type="dxa" w:w="1408"/>
            <w:shd w:val="clear" w:color="auto" w:fill="EEF3FA"/>
          </w:tcPr>
          <w:p>
            <w:pPr>
              <w:spacing w:before="32" w:after="32" w:line="240" w:lineRule="auto"/>
              <w:jc w:val="right"/>
            </w:pPr>
            <w:r>
              <w:rPr>
                <w:b w:val="0"/>
                <w:color w:val="0B0B0B"/>
                <w:sz w:val="15"/>
              </w:rPr>
              <w:t>38.0</w:t>
            </w:r>
          </w:p>
        </w:tc>
        <w:tc>
          <w:tcPr>
            <w:tcW w:type="dxa" w:w="1408"/>
            <w:shd w:val="clear" w:color="auto" w:fill="EEF3FA"/>
          </w:tcPr>
          <w:p>
            <w:pPr>
              <w:spacing w:before="32" w:after="32" w:line="240" w:lineRule="auto"/>
              <w:jc w:val="right"/>
            </w:pPr>
            <w:r>
              <w:rPr>
                <w:b w:val="0"/>
                <w:color w:val="0B0B0B"/>
                <w:sz w:val="15"/>
              </w:rPr>
              <w:t>38.0</w:t>
            </w:r>
          </w:p>
        </w:tc>
        <w:tc>
          <w:tcPr>
            <w:tcW w:type="dxa" w:w="1408"/>
            <w:shd w:val="clear" w:color="auto" w:fill="EEF3FA"/>
          </w:tcPr>
          <w:p>
            <w:pPr>
              <w:spacing w:before="32" w:after="32" w:line="240" w:lineRule="auto"/>
              <w:jc w:val="right"/>
            </w:pPr>
            <w:r>
              <w:rPr>
                <w:b w:val="0"/>
                <w:color w:val="0B0B0B"/>
                <w:sz w:val="15"/>
              </w:rPr>
              <w:t>38.0</w:t>
            </w:r>
          </w:p>
        </w:tc>
      </w:tr>
      <w:tr>
        <w:tc>
          <w:tcPr>
            <w:tcW w:type="dxa" w:w="3167"/>
          </w:tcPr>
          <w:p>
            <w:pPr>
              <w:spacing w:before="32" w:after="32" w:line="240" w:lineRule="auto"/>
              <w:jc w:val="left"/>
            </w:pPr>
            <w:r>
              <w:rPr>
                <w:b w:val="0"/>
                <w:color w:val="0B0B0B"/>
                <w:sz w:val="15"/>
              </w:rPr>
              <w:t>Diluted shares (mn)</w:t>
            </w:r>
          </w:p>
        </w:tc>
        <w:tc>
          <w:tcPr>
            <w:tcW w:type="dxa" w:w="1408"/>
          </w:tcPr>
          <w:p>
            <w:pPr>
              <w:spacing w:before="32" w:after="32" w:line="240" w:lineRule="auto"/>
              <w:jc w:val="right"/>
            </w:pPr>
            <w:r>
              <w:rPr>
                <w:b w:val="0"/>
                <w:color w:val="0B0B0B"/>
                <w:sz w:val="15"/>
              </w:rPr>
              <w:t>1,757</w:t>
            </w:r>
          </w:p>
        </w:tc>
        <w:tc>
          <w:tcPr>
            <w:tcW w:type="dxa" w:w="1408"/>
          </w:tcPr>
          <w:p>
            <w:pPr>
              <w:spacing w:before="32" w:after="32" w:line="240" w:lineRule="auto"/>
              <w:jc w:val="right"/>
            </w:pPr>
            <w:r>
              <w:rPr>
                <w:b w:val="0"/>
                <w:color w:val="0B0B0B"/>
                <w:sz w:val="15"/>
              </w:rPr>
              <w:t>1,833</w:t>
            </w:r>
          </w:p>
        </w:tc>
        <w:tc>
          <w:tcPr>
            <w:tcW w:type="dxa" w:w="1408"/>
          </w:tcPr>
          <w:p>
            <w:pPr>
              <w:spacing w:before="32" w:after="32" w:line="240" w:lineRule="auto"/>
              <w:jc w:val="right"/>
            </w:pPr>
            <w:r>
              <w:rPr>
                <w:b w:val="0"/>
                <w:color w:val="0B0B0B"/>
                <w:sz w:val="15"/>
              </w:rPr>
              <w:t>1,881</w:t>
            </w:r>
          </w:p>
        </w:tc>
        <w:tc>
          <w:tcPr>
            <w:tcW w:type="dxa" w:w="1408"/>
          </w:tcPr>
          <w:p>
            <w:pPr>
              <w:spacing w:before="32" w:after="32" w:line="240" w:lineRule="auto"/>
              <w:jc w:val="right"/>
            </w:pPr>
            <w:r>
              <w:rPr>
                <w:b w:val="0"/>
                <w:color w:val="0B0B0B"/>
                <w:sz w:val="15"/>
              </w:rPr>
              <w:t>1,881</w:t>
            </w:r>
          </w:p>
        </w:tc>
        <w:tc>
          <w:tcPr>
            <w:tcW w:type="dxa" w:w="1408"/>
          </w:tcPr>
          <w:p>
            <w:pPr>
              <w:spacing w:before="32" w:after="32" w:line="240" w:lineRule="auto"/>
              <w:jc w:val="right"/>
            </w:pPr>
            <w:r>
              <w:rPr>
                <w:b w:val="0"/>
                <w:color w:val="0B0B0B"/>
                <w:sz w:val="15"/>
              </w:rPr>
              <w:t>1,881</w:t>
            </w:r>
          </w:p>
        </w:tc>
      </w:tr>
    </w:tbl>
    <w:p>
      <w:pPr>
        <w:spacing w:before="40" w:after="120"/>
      </w:pPr>
      <w:r>
        <w:rPr>
          <w:b w:val="0"/>
          <w:i/>
          <w:color w:val="8A8880"/>
          <w:sz w:val="14"/>
        </w:rPr>
        <w:t>Source: analyst model, used as given. 'n/d' — the model does not carry segment revenue beyond FY28E. Working capital days are held flat at 38.0 from FY27E, a modelling convention rather than a forecast.</w:t>
      </w:r>
    </w:p>
    <w:p>
      <w:pPr>
        <w:spacing w:before="0" w:after="100"/>
      </w:pPr>
      <w:r>
        <w:rPr>
          <w:b w:val="0"/>
          <w:i w:val="0"/>
          <w:color w:val="0B0B0B"/>
          <w:sz w:val="17"/>
        </w:rPr>
        <w:t>What the forecast does not assume. No Salboni (1,600MW thermal, under construction with a signed West Bengal PPA). No exercise of the KSK Mahanadi units 3–6 option (1,600–1,800MW). No pumped storage beyond the 1,500MW Bhavali project in FY30E, against a company target of 40GWh of storage by 2030. No further acquisitions. No equity beyond the Rs.4,000cr QIP at Rs.525 and the Rs.1,875cr balance on the promoter warrants at Rs.525 that are already in the share count. Two of the model's inputs are worth flagging as choices rather than forecasts: working capital days pinned at 38.0 from FY27E, and minority interest falling from Rs.523cr in FY26A to Rs.24cr in FY28E despite 26% of KSK Mahanadi being owned by someone else (see Section 22).</w:t>
      </w:r>
    </w:p>
    <w:p>
      <w:pPr>
        <w:spacing w:before="0" w:after="100"/>
      </w:pPr>
      <w:r>
        <w:rPr>
          <w:b w:val="0"/>
          <w:i w:val="0"/>
          <w:color w:val="0B0B0B"/>
          <w:sz w:val="17"/>
        </w:rPr>
        <w:t>Reconciling the model to the company's own guidance, now that the FY26 results and both calls are available. The model is conservative against management on four counts and aggressive on one. Conservative: it reaches 25,905MW of generation plus 2,375MW of storage — about 28.3GW against a 30GW target, and against 32.1GW of already locked-in capacity and 29.6GWh of locked-in storage; it carries FY27E capex of Rs.21,229cr against guidance of about Rs.20,000cr and audited capital commitments of Rs.24,184cr; it applies a 25% tax rate against management guidance of 23–24%; and it puts KSK Mahanadi EBITDA at Rs.2,464cr in FY27E and Rs.2,543cr in FY28E, below the Rs.2,700cr steady state the investor-relations team asked analysts to use. Aggressive: the Rs.1.02cr/MW of incremental renewable EBITDA discussed in Section 11 sits 36% above management's own Rs.0.75cr/MW steady-state benchmark for wind and solar. On balance the model is defensible, but the growth is concentrated in the one line where it is most optimistic.</w:t>
      </w:r>
    </w:p>
    <w:p>
      <w:pPr>
        <w:keepNext/>
        <w:spacing w:before="180" w:after="40"/>
      </w:pPr>
      <w:r>
        <w:rPr>
          <w:b/>
          <w:color w:val="1F3864"/>
          <w:sz w:val="21"/>
        </w:rPr>
        <w:t>14.  Quarterly Trend</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1759"/>
        <w:gridCol w:w="1055"/>
        <w:gridCol w:w="1055"/>
        <w:gridCol w:w="1055"/>
        <w:gridCol w:w="1055"/>
        <w:gridCol w:w="1055"/>
        <w:gridCol w:w="1055"/>
        <w:gridCol w:w="1055"/>
        <w:gridCol w:w="1055"/>
      </w:tblGrid>
      <w:tr>
        <w:tc>
          <w:tcPr>
            <w:tcW w:type="dxa" w:w="1759"/>
            <w:shd w:val="clear" w:color="auto" w:fill="1F3864"/>
          </w:tcPr>
          <w:p>
            <w:pPr>
              <w:spacing w:before="50" w:after="50"/>
              <w:jc w:val="left"/>
            </w:pPr>
            <w:r>
              <w:rPr>
                <w:b/>
                <w:color w:val="FFFFFF"/>
                <w:sz w:val="15"/>
              </w:rPr>
              <w:t>Rs. cr</w:t>
            </w:r>
          </w:p>
        </w:tc>
        <w:tc>
          <w:tcPr>
            <w:tcW w:type="dxa" w:w="1056"/>
            <w:shd w:val="clear" w:color="auto" w:fill="1F3864"/>
          </w:tcPr>
          <w:p>
            <w:pPr>
              <w:spacing w:before="50" w:after="50"/>
              <w:jc w:val="right"/>
            </w:pPr>
            <w:r>
              <w:rPr>
                <w:b/>
                <w:color w:val="FFFFFF"/>
                <w:sz w:val="15"/>
              </w:rPr>
              <w:t>2QFY25</w:t>
            </w:r>
          </w:p>
        </w:tc>
        <w:tc>
          <w:tcPr>
            <w:tcW w:type="dxa" w:w="1056"/>
            <w:shd w:val="clear" w:color="auto" w:fill="1F3864"/>
          </w:tcPr>
          <w:p>
            <w:pPr>
              <w:spacing w:before="50" w:after="50"/>
              <w:jc w:val="right"/>
            </w:pPr>
            <w:r>
              <w:rPr>
                <w:b/>
                <w:color w:val="FFFFFF"/>
                <w:sz w:val="15"/>
              </w:rPr>
              <w:t>3QFY25</w:t>
            </w:r>
          </w:p>
        </w:tc>
        <w:tc>
          <w:tcPr>
            <w:tcW w:type="dxa" w:w="1056"/>
            <w:shd w:val="clear" w:color="auto" w:fill="1F3864"/>
          </w:tcPr>
          <w:p>
            <w:pPr>
              <w:spacing w:before="50" w:after="50"/>
              <w:jc w:val="right"/>
            </w:pPr>
            <w:r>
              <w:rPr>
                <w:b/>
                <w:color w:val="FFFFFF"/>
                <w:sz w:val="15"/>
              </w:rPr>
              <w:t>4QFY25</w:t>
            </w:r>
          </w:p>
        </w:tc>
        <w:tc>
          <w:tcPr>
            <w:tcW w:type="dxa" w:w="1056"/>
            <w:shd w:val="clear" w:color="auto" w:fill="1F3864"/>
          </w:tcPr>
          <w:p>
            <w:pPr>
              <w:spacing w:before="50" w:after="50"/>
              <w:jc w:val="right"/>
            </w:pPr>
            <w:r>
              <w:rPr>
                <w:b/>
                <w:color w:val="FFFFFF"/>
                <w:sz w:val="15"/>
              </w:rPr>
              <w:t>1QFY26</w:t>
            </w:r>
          </w:p>
        </w:tc>
        <w:tc>
          <w:tcPr>
            <w:tcW w:type="dxa" w:w="1056"/>
            <w:shd w:val="clear" w:color="auto" w:fill="1F3864"/>
          </w:tcPr>
          <w:p>
            <w:pPr>
              <w:spacing w:before="50" w:after="50"/>
              <w:jc w:val="right"/>
            </w:pPr>
            <w:r>
              <w:rPr>
                <w:b/>
                <w:color w:val="FFFFFF"/>
                <w:sz w:val="15"/>
              </w:rPr>
              <w:t>2QFY26</w:t>
            </w:r>
          </w:p>
        </w:tc>
        <w:tc>
          <w:tcPr>
            <w:tcW w:type="dxa" w:w="1056"/>
            <w:shd w:val="clear" w:color="auto" w:fill="1F3864"/>
          </w:tcPr>
          <w:p>
            <w:pPr>
              <w:spacing w:before="50" w:after="50"/>
              <w:jc w:val="right"/>
            </w:pPr>
            <w:r>
              <w:rPr>
                <w:b/>
                <w:color w:val="FFFFFF"/>
                <w:sz w:val="15"/>
              </w:rPr>
              <w:t>3QFY26</w:t>
            </w:r>
          </w:p>
        </w:tc>
        <w:tc>
          <w:tcPr>
            <w:tcW w:type="dxa" w:w="1056"/>
            <w:shd w:val="clear" w:color="auto" w:fill="1F3864"/>
          </w:tcPr>
          <w:p>
            <w:pPr>
              <w:spacing w:before="50" w:after="50"/>
              <w:jc w:val="right"/>
            </w:pPr>
            <w:r>
              <w:rPr>
                <w:b/>
                <w:color w:val="FFFFFF"/>
                <w:sz w:val="15"/>
              </w:rPr>
              <w:t>4QFY26</w:t>
            </w:r>
          </w:p>
        </w:tc>
        <w:tc>
          <w:tcPr>
            <w:tcW w:type="dxa" w:w="1056"/>
            <w:shd w:val="clear" w:color="auto" w:fill="1F3864"/>
          </w:tcPr>
          <w:p>
            <w:pPr>
              <w:spacing w:before="50" w:after="50"/>
              <w:jc w:val="right"/>
            </w:pPr>
            <w:r>
              <w:rPr>
                <w:b/>
                <w:color w:val="FFFFFF"/>
                <w:sz w:val="15"/>
              </w:rPr>
              <w:t>1QFY27</w:t>
            </w:r>
          </w:p>
        </w:tc>
      </w:tr>
      <w:tr>
        <w:tc>
          <w:tcPr>
            <w:tcW w:type="dxa" w:w="1759"/>
          </w:tcPr>
          <w:p>
            <w:pPr>
              <w:spacing w:before="32" w:after="32" w:line="240" w:lineRule="auto"/>
              <w:jc w:val="left"/>
            </w:pPr>
            <w:r>
              <w:rPr>
                <w:b w:val="0"/>
                <w:color w:val="0B0B0B"/>
                <w:sz w:val="15"/>
              </w:rPr>
              <w:t>Revenue</w:t>
            </w:r>
          </w:p>
        </w:tc>
        <w:tc>
          <w:tcPr>
            <w:tcW w:type="dxa" w:w="1056"/>
          </w:tcPr>
          <w:p>
            <w:pPr>
              <w:spacing w:before="32" w:after="32" w:line="240" w:lineRule="auto"/>
              <w:jc w:val="right"/>
            </w:pPr>
            <w:r>
              <w:rPr>
                <w:b w:val="0"/>
                <w:color w:val="0B0B0B"/>
                <w:sz w:val="15"/>
              </w:rPr>
              <w:t>3,238</w:t>
            </w:r>
          </w:p>
        </w:tc>
        <w:tc>
          <w:tcPr>
            <w:tcW w:type="dxa" w:w="1056"/>
          </w:tcPr>
          <w:p>
            <w:pPr>
              <w:spacing w:before="32" w:after="32" w:line="240" w:lineRule="auto"/>
              <w:jc w:val="right"/>
            </w:pPr>
            <w:r>
              <w:rPr>
                <w:b w:val="0"/>
                <w:color w:val="0B0B0B"/>
                <w:sz w:val="15"/>
              </w:rPr>
              <w:t>2,439</w:t>
            </w:r>
          </w:p>
        </w:tc>
        <w:tc>
          <w:tcPr>
            <w:tcW w:type="dxa" w:w="1056"/>
          </w:tcPr>
          <w:p>
            <w:pPr>
              <w:spacing w:before="32" w:after="32" w:line="240" w:lineRule="auto"/>
              <w:jc w:val="right"/>
            </w:pPr>
            <w:r>
              <w:rPr>
                <w:b w:val="0"/>
                <w:color w:val="0B0B0B"/>
                <w:sz w:val="15"/>
              </w:rPr>
              <w:t>3,189</w:t>
            </w:r>
          </w:p>
        </w:tc>
        <w:tc>
          <w:tcPr>
            <w:tcW w:type="dxa" w:w="1056"/>
          </w:tcPr>
          <w:p>
            <w:pPr>
              <w:spacing w:before="32" w:after="32" w:line="240" w:lineRule="auto"/>
              <w:jc w:val="right"/>
            </w:pPr>
            <w:r>
              <w:rPr>
                <w:b w:val="0"/>
                <w:color w:val="0B0B0B"/>
                <w:sz w:val="15"/>
              </w:rPr>
              <w:t>5,143</w:t>
            </w:r>
          </w:p>
        </w:tc>
        <w:tc>
          <w:tcPr>
            <w:tcW w:type="dxa" w:w="1056"/>
          </w:tcPr>
          <w:p>
            <w:pPr>
              <w:spacing w:before="32" w:after="32" w:line="240" w:lineRule="auto"/>
              <w:jc w:val="right"/>
            </w:pPr>
            <w:r>
              <w:rPr>
                <w:b w:val="0"/>
                <w:color w:val="0B0B0B"/>
                <w:sz w:val="15"/>
              </w:rPr>
              <w:t>5,177</w:t>
            </w:r>
          </w:p>
        </w:tc>
        <w:tc>
          <w:tcPr>
            <w:tcW w:type="dxa" w:w="1056"/>
          </w:tcPr>
          <w:p>
            <w:pPr>
              <w:spacing w:before="32" w:after="32" w:line="240" w:lineRule="auto"/>
              <w:jc w:val="right"/>
            </w:pPr>
            <w:r>
              <w:rPr>
                <w:b w:val="0"/>
                <w:color w:val="0B0B0B"/>
                <w:sz w:val="15"/>
              </w:rPr>
              <w:t>4,082</w:t>
            </w:r>
          </w:p>
        </w:tc>
        <w:tc>
          <w:tcPr>
            <w:tcW w:type="dxa" w:w="1056"/>
          </w:tcPr>
          <w:p>
            <w:pPr>
              <w:spacing w:before="32" w:after="32" w:line="240" w:lineRule="auto"/>
              <w:jc w:val="right"/>
            </w:pPr>
            <w:r>
              <w:rPr>
                <w:b w:val="0"/>
                <w:color w:val="0B0B0B"/>
                <w:sz w:val="15"/>
              </w:rPr>
              <w:t>4,499</w:t>
            </w:r>
          </w:p>
        </w:tc>
        <w:tc>
          <w:tcPr>
            <w:tcW w:type="dxa" w:w="1056"/>
          </w:tcPr>
          <w:p>
            <w:pPr>
              <w:spacing w:before="32" w:after="32" w:line="240" w:lineRule="auto"/>
              <w:jc w:val="right"/>
            </w:pPr>
            <w:r>
              <w:rPr>
                <w:b w:val="0"/>
                <w:color w:val="0B0B0B"/>
                <w:sz w:val="15"/>
              </w:rPr>
              <w:t>5,207</w:t>
            </w:r>
          </w:p>
        </w:tc>
      </w:tr>
      <w:tr>
        <w:tc>
          <w:tcPr>
            <w:tcW w:type="dxa" w:w="1759"/>
            <w:shd w:val="clear" w:color="auto" w:fill="EEF3FA"/>
          </w:tcPr>
          <w:p>
            <w:pPr>
              <w:spacing w:before="32" w:after="32" w:line="240" w:lineRule="auto"/>
              <w:jc w:val="left"/>
            </w:pPr>
            <w:r>
              <w:rPr>
                <w:b w:val="0"/>
                <w:color w:val="0B0B0B"/>
                <w:sz w:val="15"/>
              </w:rPr>
              <w:t>Revenue growth, yoy</w:t>
            </w:r>
          </w:p>
        </w:tc>
        <w:tc>
          <w:tcPr>
            <w:tcW w:type="dxa" w:w="1056"/>
            <w:shd w:val="clear" w:color="auto" w:fill="EEF3FA"/>
          </w:tcPr>
          <w:p>
            <w:pPr>
              <w:spacing w:before="32" w:after="32" w:line="240" w:lineRule="auto"/>
              <w:jc w:val="right"/>
            </w:pPr>
            <w:r>
              <w:rPr>
                <w:b w:val="0"/>
                <w:color w:val="0B0B0B"/>
                <w:sz w:val="15"/>
              </w:rPr>
              <w:t>-1%</w:t>
            </w:r>
          </w:p>
        </w:tc>
        <w:tc>
          <w:tcPr>
            <w:tcW w:type="dxa" w:w="1056"/>
            <w:shd w:val="clear" w:color="auto" w:fill="EEF3FA"/>
          </w:tcPr>
          <w:p>
            <w:pPr>
              <w:spacing w:before="32" w:after="32" w:line="240" w:lineRule="auto"/>
              <w:jc w:val="right"/>
            </w:pPr>
            <w:r>
              <w:rPr>
                <w:b w:val="0"/>
                <w:color w:val="0B0B0B"/>
                <w:sz w:val="15"/>
              </w:rPr>
              <w:t>-4%</w:t>
            </w:r>
          </w:p>
        </w:tc>
        <w:tc>
          <w:tcPr>
            <w:tcW w:type="dxa" w:w="1056"/>
            <w:shd w:val="clear" w:color="auto" w:fill="EEF3FA"/>
          </w:tcPr>
          <w:p>
            <w:pPr>
              <w:spacing w:before="32" w:after="32" w:line="240" w:lineRule="auto"/>
              <w:jc w:val="right"/>
            </w:pPr>
            <w:r>
              <w:rPr>
                <w:b w:val="0"/>
                <w:color w:val="0B0B0B"/>
                <w:sz w:val="15"/>
              </w:rPr>
              <w:t>16%</w:t>
            </w:r>
          </w:p>
        </w:tc>
        <w:tc>
          <w:tcPr>
            <w:tcW w:type="dxa" w:w="1056"/>
            <w:shd w:val="clear" w:color="auto" w:fill="EEF3FA"/>
          </w:tcPr>
          <w:p>
            <w:pPr>
              <w:spacing w:before="32" w:after="32" w:line="240" w:lineRule="auto"/>
              <w:jc w:val="right"/>
            </w:pPr>
            <w:r>
              <w:rPr>
                <w:b w:val="0"/>
                <w:color w:val="0B0B0B"/>
                <w:sz w:val="15"/>
              </w:rPr>
              <w:t>79%</w:t>
            </w:r>
          </w:p>
        </w:tc>
        <w:tc>
          <w:tcPr>
            <w:tcW w:type="dxa" w:w="1056"/>
            <w:shd w:val="clear" w:color="auto" w:fill="EEF3FA"/>
          </w:tcPr>
          <w:p>
            <w:pPr>
              <w:spacing w:before="32" w:after="32" w:line="240" w:lineRule="auto"/>
              <w:jc w:val="right"/>
            </w:pPr>
            <w:r>
              <w:rPr>
                <w:b w:val="0"/>
                <w:color w:val="0B0B0B"/>
                <w:sz w:val="15"/>
              </w:rPr>
              <w:t>60%</w:t>
            </w:r>
          </w:p>
        </w:tc>
        <w:tc>
          <w:tcPr>
            <w:tcW w:type="dxa" w:w="1056"/>
            <w:shd w:val="clear" w:color="auto" w:fill="EEF3FA"/>
          </w:tcPr>
          <w:p>
            <w:pPr>
              <w:spacing w:before="32" w:after="32" w:line="240" w:lineRule="auto"/>
              <w:jc w:val="right"/>
            </w:pPr>
            <w:r>
              <w:rPr>
                <w:b w:val="0"/>
                <w:color w:val="0B0B0B"/>
                <w:sz w:val="15"/>
              </w:rPr>
              <w:t>67%</w:t>
            </w:r>
          </w:p>
        </w:tc>
        <w:tc>
          <w:tcPr>
            <w:tcW w:type="dxa" w:w="1056"/>
            <w:shd w:val="clear" w:color="auto" w:fill="EEF3FA"/>
          </w:tcPr>
          <w:p>
            <w:pPr>
              <w:spacing w:before="32" w:after="32" w:line="240" w:lineRule="auto"/>
              <w:jc w:val="right"/>
            </w:pPr>
            <w:r>
              <w:rPr>
                <w:b w:val="0"/>
                <w:color w:val="0B0B0B"/>
                <w:sz w:val="15"/>
              </w:rPr>
              <w:t>41%</w:t>
            </w:r>
          </w:p>
        </w:tc>
        <w:tc>
          <w:tcPr>
            <w:tcW w:type="dxa" w:w="1056"/>
            <w:shd w:val="clear" w:color="auto" w:fill="EEF3FA"/>
          </w:tcPr>
          <w:p>
            <w:pPr>
              <w:spacing w:before="32" w:after="32" w:line="240" w:lineRule="auto"/>
              <w:jc w:val="right"/>
            </w:pPr>
            <w:r>
              <w:rPr>
                <w:b w:val="0"/>
                <w:color w:val="0B0B0B"/>
                <w:sz w:val="15"/>
              </w:rPr>
              <w:t>1%</w:t>
            </w:r>
          </w:p>
        </w:tc>
      </w:tr>
      <w:tr>
        <w:tc>
          <w:tcPr>
            <w:tcW w:type="dxa" w:w="1759"/>
          </w:tcPr>
          <w:p>
            <w:pPr>
              <w:spacing w:before="32" w:after="32" w:line="240" w:lineRule="auto"/>
              <w:jc w:val="left"/>
            </w:pPr>
            <w:r>
              <w:rPr>
                <w:b w:val="0"/>
                <w:color w:val="0B0B0B"/>
                <w:sz w:val="15"/>
              </w:rPr>
              <w:t>EBITDA</w:t>
            </w:r>
          </w:p>
        </w:tc>
        <w:tc>
          <w:tcPr>
            <w:tcW w:type="dxa" w:w="1056"/>
          </w:tcPr>
          <w:p>
            <w:pPr>
              <w:spacing w:before="32" w:after="32" w:line="240" w:lineRule="auto"/>
              <w:jc w:val="right"/>
            </w:pPr>
            <w:r>
              <w:rPr>
                <w:b w:val="0"/>
                <w:color w:val="0B0B0B"/>
                <w:sz w:val="15"/>
              </w:rPr>
              <w:t>1,685</w:t>
            </w:r>
          </w:p>
        </w:tc>
        <w:tc>
          <w:tcPr>
            <w:tcW w:type="dxa" w:w="1056"/>
          </w:tcPr>
          <w:p>
            <w:pPr>
              <w:spacing w:before="32" w:after="32" w:line="240" w:lineRule="auto"/>
              <w:jc w:val="right"/>
            </w:pPr>
            <w:r>
              <w:rPr>
                <w:b w:val="0"/>
                <w:color w:val="0B0B0B"/>
                <w:sz w:val="15"/>
              </w:rPr>
              <w:t>914</w:t>
            </w:r>
          </w:p>
        </w:tc>
        <w:tc>
          <w:tcPr>
            <w:tcW w:type="dxa" w:w="1056"/>
          </w:tcPr>
          <w:p>
            <w:pPr>
              <w:spacing w:before="32" w:after="32" w:line="240" w:lineRule="auto"/>
              <w:jc w:val="right"/>
            </w:pPr>
            <w:r>
              <w:rPr>
                <w:b w:val="0"/>
                <w:color w:val="0B0B0B"/>
                <w:sz w:val="15"/>
              </w:rPr>
              <w:t>1,204</w:t>
            </w:r>
          </w:p>
        </w:tc>
        <w:tc>
          <w:tcPr>
            <w:tcW w:type="dxa" w:w="1056"/>
          </w:tcPr>
          <w:p>
            <w:pPr>
              <w:spacing w:before="32" w:after="32" w:line="240" w:lineRule="auto"/>
              <w:jc w:val="right"/>
            </w:pPr>
            <w:r>
              <w:rPr>
                <w:b w:val="0"/>
                <w:color w:val="0B0B0B"/>
                <w:sz w:val="15"/>
              </w:rPr>
              <w:t>2,789</w:t>
            </w:r>
          </w:p>
        </w:tc>
        <w:tc>
          <w:tcPr>
            <w:tcW w:type="dxa" w:w="1056"/>
          </w:tcPr>
          <w:p>
            <w:pPr>
              <w:spacing w:before="32" w:after="32" w:line="240" w:lineRule="auto"/>
              <w:jc w:val="right"/>
            </w:pPr>
            <w:r>
              <w:rPr>
                <w:b w:val="0"/>
                <w:color w:val="0B0B0B"/>
                <w:sz w:val="15"/>
              </w:rPr>
              <w:t>2,996</w:t>
            </w:r>
          </w:p>
        </w:tc>
        <w:tc>
          <w:tcPr>
            <w:tcW w:type="dxa" w:w="1056"/>
          </w:tcPr>
          <w:p>
            <w:pPr>
              <w:spacing w:before="32" w:after="32" w:line="240" w:lineRule="auto"/>
              <w:jc w:val="right"/>
            </w:pPr>
            <w:r>
              <w:rPr>
                <w:b w:val="0"/>
                <w:color w:val="0B0B0B"/>
                <w:sz w:val="15"/>
              </w:rPr>
              <w:t>2,030</w:t>
            </w:r>
          </w:p>
        </w:tc>
        <w:tc>
          <w:tcPr>
            <w:tcW w:type="dxa" w:w="1056"/>
          </w:tcPr>
          <w:p>
            <w:pPr>
              <w:spacing w:before="32" w:after="32" w:line="240" w:lineRule="auto"/>
              <w:jc w:val="right"/>
            </w:pPr>
            <w:r>
              <w:rPr>
                <w:b w:val="0"/>
                <w:color w:val="0B0B0B"/>
                <w:sz w:val="15"/>
              </w:rPr>
              <w:t>2,250</w:t>
            </w:r>
          </w:p>
        </w:tc>
        <w:tc>
          <w:tcPr>
            <w:tcW w:type="dxa" w:w="1056"/>
          </w:tcPr>
          <w:p>
            <w:pPr>
              <w:spacing w:before="32" w:after="32" w:line="240" w:lineRule="auto"/>
              <w:jc w:val="right"/>
            </w:pPr>
            <w:r>
              <w:rPr>
                <w:b w:val="0"/>
                <w:color w:val="0B0B0B"/>
                <w:sz w:val="15"/>
              </w:rPr>
              <w:t>2,873</w:t>
            </w:r>
          </w:p>
        </w:tc>
      </w:tr>
      <w:tr>
        <w:tc>
          <w:tcPr>
            <w:tcW w:type="dxa" w:w="1759"/>
            <w:shd w:val="clear" w:color="auto" w:fill="EEF3FA"/>
          </w:tcPr>
          <w:p>
            <w:pPr>
              <w:spacing w:before="32" w:after="32" w:line="240" w:lineRule="auto"/>
              <w:jc w:val="left"/>
            </w:pPr>
            <w:r>
              <w:rPr>
                <w:b w:val="0"/>
                <w:color w:val="0B0B0B"/>
                <w:sz w:val="15"/>
              </w:rPr>
              <w:t>EBITDA margin</w:t>
            </w:r>
          </w:p>
        </w:tc>
        <w:tc>
          <w:tcPr>
            <w:tcW w:type="dxa" w:w="1056"/>
            <w:shd w:val="clear" w:color="auto" w:fill="EEF3FA"/>
          </w:tcPr>
          <w:p>
            <w:pPr>
              <w:spacing w:before="32" w:after="32" w:line="240" w:lineRule="auto"/>
              <w:jc w:val="right"/>
            </w:pPr>
            <w:r>
              <w:rPr>
                <w:b w:val="0"/>
                <w:color w:val="0B0B0B"/>
                <w:sz w:val="15"/>
              </w:rPr>
              <w:t>52.0%</w:t>
            </w:r>
          </w:p>
        </w:tc>
        <w:tc>
          <w:tcPr>
            <w:tcW w:type="dxa" w:w="1056"/>
            <w:shd w:val="clear" w:color="auto" w:fill="EEF3FA"/>
          </w:tcPr>
          <w:p>
            <w:pPr>
              <w:spacing w:before="32" w:after="32" w:line="240" w:lineRule="auto"/>
              <w:jc w:val="right"/>
            </w:pPr>
            <w:r>
              <w:rPr>
                <w:b w:val="0"/>
                <w:color w:val="0B0B0B"/>
                <w:sz w:val="15"/>
              </w:rPr>
              <w:t>37.5%</w:t>
            </w:r>
          </w:p>
        </w:tc>
        <w:tc>
          <w:tcPr>
            <w:tcW w:type="dxa" w:w="1056"/>
            <w:shd w:val="clear" w:color="auto" w:fill="EEF3FA"/>
          </w:tcPr>
          <w:p>
            <w:pPr>
              <w:spacing w:before="32" w:after="32" w:line="240" w:lineRule="auto"/>
              <w:jc w:val="right"/>
            </w:pPr>
            <w:r>
              <w:rPr>
                <w:b w:val="0"/>
                <w:color w:val="0B0B0B"/>
                <w:sz w:val="15"/>
              </w:rPr>
              <w:t>37.8%</w:t>
            </w:r>
          </w:p>
        </w:tc>
        <w:tc>
          <w:tcPr>
            <w:tcW w:type="dxa" w:w="1056"/>
            <w:shd w:val="clear" w:color="auto" w:fill="EEF3FA"/>
          </w:tcPr>
          <w:p>
            <w:pPr>
              <w:spacing w:before="32" w:after="32" w:line="240" w:lineRule="auto"/>
              <w:jc w:val="right"/>
            </w:pPr>
            <w:r>
              <w:rPr>
                <w:b w:val="0"/>
                <w:color w:val="0B0B0B"/>
                <w:sz w:val="15"/>
              </w:rPr>
              <w:t>54.2%</w:t>
            </w:r>
          </w:p>
        </w:tc>
        <w:tc>
          <w:tcPr>
            <w:tcW w:type="dxa" w:w="1056"/>
            <w:shd w:val="clear" w:color="auto" w:fill="EEF3FA"/>
          </w:tcPr>
          <w:p>
            <w:pPr>
              <w:spacing w:before="32" w:after="32" w:line="240" w:lineRule="auto"/>
              <w:jc w:val="right"/>
            </w:pPr>
            <w:r>
              <w:rPr>
                <w:b w:val="0"/>
                <w:color w:val="0B0B0B"/>
                <w:sz w:val="15"/>
              </w:rPr>
              <w:t>57.9%</w:t>
            </w:r>
          </w:p>
        </w:tc>
        <w:tc>
          <w:tcPr>
            <w:tcW w:type="dxa" w:w="1056"/>
            <w:shd w:val="clear" w:color="auto" w:fill="EEF3FA"/>
          </w:tcPr>
          <w:p>
            <w:pPr>
              <w:spacing w:before="32" w:after="32" w:line="240" w:lineRule="auto"/>
              <w:jc w:val="right"/>
            </w:pPr>
            <w:r>
              <w:rPr>
                <w:b w:val="0"/>
                <w:color w:val="0B0B0B"/>
                <w:sz w:val="15"/>
              </w:rPr>
              <w:t>49.7%</w:t>
            </w:r>
          </w:p>
        </w:tc>
        <w:tc>
          <w:tcPr>
            <w:tcW w:type="dxa" w:w="1056"/>
            <w:shd w:val="clear" w:color="auto" w:fill="EEF3FA"/>
          </w:tcPr>
          <w:p>
            <w:pPr>
              <w:spacing w:before="32" w:after="32" w:line="240" w:lineRule="auto"/>
              <w:jc w:val="right"/>
            </w:pPr>
            <w:r>
              <w:rPr>
                <w:b w:val="0"/>
                <w:color w:val="0B0B0B"/>
                <w:sz w:val="15"/>
              </w:rPr>
              <w:t>50.0%</w:t>
            </w:r>
          </w:p>
        </w:tc>
        <w:tc>
          <w:tcPr>
            <w:tcW w:type="dxa" w:w="1056"/>
            <w:shd w:val="clear" w:color="auto" w:fill="EEF3FA"/>
          </w:tcPr>
          <w:p>
            <w:pPr>
              <w:spacing w:before="32" w:after="32" w:line="240" w:lineRule="auto"/>
              <w:jc w:val="right"/>
            </w:pPr>
            <w:r>
              <w:rPr>
                <w:b w:val="0"/>
                <w:color w:val="0B0B0B"/>
                <w:sz w:val="15"/>
              </w:rPr>
              <w:t>55.2%</w:t>
            </w:r>
          </w:p>
        </w:tc>
      </w:tr>
      <w:tr>
        <w:tc>
          <w:tcPr>
            <w:tcW w:type="dxa" w:w="1759"/>
          </w:tcPr>
          <w:p>
            <w:pPr>
              <w:spacing w:before="32" w:after="32" w:line="240" w:lineRule="auto"/>
              <w:jc w:val="left"/>
            </w:pPr>
            <w:r>
              <w:rPr>
                <w:b w:val="0"/>
                <w:color w:val="0B0B0B"/>
                <w:sz w:val="15"/>
              </w:rPr>
              <w:t>PAT after minority</w:t>
            </w:r>
          </w:p>
        </w:tc>
        <w:tc>
          <w:tcPr>
            <w:tcW w:type="dxa" w:w="1056"/>
          </w:tcPr>
          <w:p>
            <w:pPr>
              <w:spacing w:before="32" w:after="32" w:line="240" w:lineRule="auto"/>
              <w:jc w:val="right"/>
            </w:pPr>
            <w:r>
              <w:rPr>
                <w:b w:val="0"/>
                <w:color w:val="0B0B0B"/>
                <w:sz w:val="15"/>
              </w:rPr>
              <w:t>853</w:t>
            </w:r>
          </w:p>
        </w:tc>
        <w:tc>
          <w:tcPr>
            <w:tcW w:type="dxa" w:w="1056"/>
          </w:tcPr>
          <w:p>
            <w:pPr>
              <w:spacing w:before="32" w:after="32" w:line="240" w:lineRule="auto"/>
              <w:jc w:val="right"/>
            </w:pPr>
            <w:r>
              <w:rPr>
                <w:b w:val="0"/>
                <w:color w:val="0B0B0B"/>
                <w:sz w:val="15"/>
              </w:rPr>
              <w:t>168</w:t>
            </w:r>
          </w:p>
        </w:tc>
        <w:tc>
          <w:tcPr>
            <w:tcW w:type="dxa" w:w="1056"/>
          </w:tcPr>
          <w:p>
            <w:pPr>
              <w:spacing w:before="32" w:after="32" w:line="240" w:lineRule="auto"/>
              <w:jc w:val="right"/>
            </w:pPr>
            <w:r>
              <w:rPr>
                <w:b w:val="0"/>
                <w:color w:val="0B0B0B"/>
                <w:sz w:val="15"/>
              </w:rPr>
              <w:t>408</w:t>
            </w:r>
          </w:p>
        </w:tc>
        <w:tc>
          <w:tcPr>
            <w:tcW w:type="dxa" w:w="1056"/>
          </w:tcPr>
          <w:p>
            <w:pPr>
              <w:spacing w:before="32" w:after="32" w:line="240" w:lineRule="auto"/>
              <w:jc w:val="right"/>
            </w:pPr>
            <w:r>
              <w:rPr>
                <w:b w:val="0"/>
                <w:color w:val="0B0B0B"/>
                <w:sz w:val="15"/>
              </w:rPr>
              <w:t>743</w:t>
            </w:r>
          </w:p>
        </w:tc>
        <w:tc>
          <w:tcPr>
            <w:tcW w:type="dxa" w:w="1056"/>
          </w:tcPr>
          <w:p>
            <w:pPr>
              <w:spacing w:before="32" w:after="32" w:line="240" w:lineRule="auto"/>
              <w:jc w:val="right"/>
            </w:pPr>
            <w:r>
              <w:rPr>
                <w:b w:val="0"/>
                <w:color w:val="0B0B0B"/>
                <w:sz w:val="15"/>
              </w:rPr>
              <w:t>705</w:t>
            </w:r>
          </w:p>
        </w:tc>
        <w:tc>
          <w:tcPr>
            <w:tcW w:type="dxa" w:w="1056"/>
          </w:tcPr>
          <w:p>
            <w:pPr>
              <w:spacing w:before="32" w:after="32" w:line="240" w:lineRule="auto"/>
              <w:jc w:val="right"/>
            </w:pPr>
            <w:r>
              <w:rPr>
                <w:b w:val="0"/>
                <w:color w:val="0B0B0B"/>
                <w:sz w:val="15"/>
              </w:rPr>
              <w:t>420</w:t>
            </w:r>
          </w:p>
        </w:tc>
        <w:tc>
          <w:tcPr>
            <w:tcW w:type="dxa" w:w="1056"/>
          </w:tcPr>
          <w:p>
            <w:pPr>
              <w:spacing w:before="32" w:after="32" w:line="240" w:lineRule="auto"/>
              <w:jc w:val="right"/>
            </w:pPr>
            <w:r>
              <w:rPr>
                <w:b w:val="0"/>
                <w:color w:val="0B0B0B"/>
                <w:sz w:val="15"/>
              </w:rPr>
              <w:t>372</w:t>
            </w:r>
          </w:p>
        </w:tc>
        <w:tc>
          <w:tcPr>
            <w:tcW w:type="dxa" w:w="1056"/>
          </w:tcPr>
          <w:p>
            <w:pPr>
              <w:spacing w:before="32" w:after="32" w:line="240" w:lineRule="auto"/>
              <w:jc w:val="right"/>
            </w:pPr>
            <w:r>
              <w:rPr>
                <w:b w:val="0"/>
                <w:color w:val="0B0B0B"/>
                <w:sz w:val="15"/>
              </w:rPr>
              <w:t>471</w:t>
            </w:r>
          </w:p>
        </w:tc>
      </w:tr>
    </w:tbl>
    <w:p>
      <w:pPr>
        <w:spacing w:before="40" w:after="120"/>
      </w:pPr>
      <w:r>
        <w:rPr>
          <w:b w:val="0"/>
          <w:i/>
          <w:color w:val="8A8880"/>
          <w:sz w:val="14"/>
        </w:rPr>
        <w:t>Source: analyst model, consolidated reported quarterlies. 3QFY26 PAT includes a Rs.751cr deferred-tax credit and a Rs.65cr exceptional item.</w:t>
      </w:r>
    </w:p>
    <w:p>
      <w:pPr>
        <w:spacing w:before="0" w:after="100"/>
      </w:pPr>
      <w:r>
        <w:rPr>
          <w:b w:val="0"/>
          <w:i w:val="0"/>
          <w:color w:val="0B0B0B"/>
          <w:sz w:val="17"/>
        </w:rPr>
        <w:t>What the cadence shows. Three things. First, the year-on-year revenue growth of 60–79% through FY26 was consolidation of KSK and O2, and it has now annualised out — 1QFY27 revenue grew 1.2%. From here, growth has to come from commissioning, not from acquisition accounting. Second, the margin is genuinely improving on mix: 1QFY27 EBITDA margin of 55.2% against 54.2% a year earlier, on flat revenue, is the renewable share doing its work — EBITDA rose 3% while PAT fell 37%, the entire gap being higher interest (Rs.1,519cr against Rs.1,306cr) and depreciation on newly commissioned assets. Third, and most important for anyone underwriting FY27E: the run-rate does not yet get there. 1QFY27 EBITDA of Rs.2,873cr annualises to Rs.11,493cr against a FY27E estimate of Rs.12,952cr, so the remaining nine months need Rs.3,360cr a quarter, 17% above the June quarter. On PAT the gap is wider: Rs.471cr in 1QFY27 against a FY27E estimate of Rs.2,823cr requires Rs.784cr a quarter for the rest of the year. The estimate is heavily back-ended on capacity that has not yet commissioned. That is not implausible — 3,155MW is scheduled — but it is the single most fragile part of the forecast.</w:t>
      </w:r>
    </w:p>
    <w:p>
      <w:pPr>
        <w:keepNext/>
        <w:spacing w:before="180" w:after="40"/>
      </w:pPr>
      <w:r>
        <w:rPr>
          <w:b/>
          <w:color w:val="1F3864"/>
          <w:sz w:val="21"/>
        </w:rPr>
        <w:t>15.  Financial Performance</w:t>
      </w:r>
    </w:p>
    <w:tbl>
      <w:tblPr>
        <w:tblW w:w="10205"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1701"/>
        <w:gridCol w:w="944"/>
        <w:gridCol w:w="944"/>
        <w:gridCol w:w="944"/>
        <w:gridCol w:w="944"/>
        <w:gridCol w:w="944"/>
        <w:gridCol w:w="944"/>
        <w:gridCol w:w="944"/>
        <w:gridCol w:w="944"/>
        <w:gridCol w:w="944"/>
      </w:tblGrid>
      <w:tr>
        <w:tc>
          <w:tcPr>
            <w:tcW w:type="dxa" w:w="1702"/>
            <w:shd w:val="clear" w:color="auto" w:fill="1F3864"/>
          </w:tcPr>
          <w:p>
            <w:pPr>
              <w:spacing w:before="50" w:after="50"/>
              <w:jc w:val="left"/>
            </w:pPr>
            <w:r>
              <w:rPr>
                <w:b/>
                <w:color w:val="FFFFFF"/>
                <w:sz w:val="15"/>
              </w:rPr>
              <w:t>Rs. cr</w:t>
            </w:r>
          </w:p>
        </w:tc>
        <w:tc>
          <w:tcPr>
            <w:tcW w:type="dxa" w:w="945"/>
            <w:shd w:val="clear" w:color="auto" w:fill="1F3864"/>
          </w:tcPr>
          <w:p>
            <w:pPr>
              <w:spacing w:before="50" w:after="50"/>
              <w:jc w:val="right"/>
            </w:pPr>
            <w:r>
              <w:rPr>
                <w:b/>
                <w:color w:val="FFFFFF"/>
                <w:sz w:val="15"/>
              </w:rPr>
              <w:t>FY22A</w:t>
            </w:r>
          </w:p>
        </w:tc>
        <w:tc>
          <w:tcPr>
            <w:tcW w:type="dxa" w:w="945"/>
            <w:shd w:val="clear" w:color="auto" w:fill="1F3864"/>
          </w:tcPr>
          <w:p>
            <w:pPr>
              <w:spacing w:before="50" w:after="50"/>
              <w:jc w:val="right"/>
            </w:pPr>
            <w:r>
              <w:rPr>
                <w:b/>
                <w:color w:val="FFFFFF"/>
                <w:sz w:val="15"/>
              </w:rPr>
              <w:t>FY23A</w:t>
            </w:r>
          </w:p>
        </w:tc>
        <w:tc>
          <w:tcPr>
            <w:tcW w:type="dxa" w:w="945"/>
            <w:shd w:val="clear" w:color="auto" w:fill="1F3864"/>
          </w:tcPr>
          <w:p>
            <w:pPr>
              <w:spacing w:before="50" w:after="50"/>
              <w:jc w:val="right"/>
            </w:pPr>
            <w:r>
              <w:rPr>
                <w:b/>
                <w:color w:val="FFFFFF"/>
                <w:sz w:val="15"/>
              </w:rPr>
              <w:t>FY24A</w:t>
            </w:r>
          </w:p>
        </w:tc>
        <w:tc>
          <w:tcPr>
            <w:tcW w:type="dxa" w:w="945"/>
            <w:shd w:val="clear" w:color="auto" w:fill="1F3864"/>
          </w:tcPr>
          <w:p>
            <w:pPr>
              <w:spacing w:before="50" w:after="50"/>
              <w:jc w:val="right"/>
            </w:pPr>
            <w:r>
              <w:rPr>
                <w:b/>
                <w:color w:val="FFFFFF"/>
                <w:sz w:val="15"/>
              </w:rPr>
              <w:t>FY25A</w:t>
            </w:r>
          </w:p>
        </w:tc>
        <w:tc>
          <w:tcPr>
            <w:tcW w:type="dxa" w:w="945"/>
            <w:shd w:val="clear" w:color="auto" w:fill="1F3864"/>
          </w:tcPr>
          <w:p>
            <w:pPr>
              <w:spacing w:before="50" w:after="50"/>
              <w:jc w:val="right"/>
            </w:pPr>
            <w:r>
              <w:rPr>
                <w:b/>
                <w:color w:val="FFFFFF"/>
                <w:sz w:val="15"/>
              </w:rPr>
              <w:t>FY26A</w:t>
            </w:r>
          </w:p>
        </w:tc>
        <w:tc>
          <w:tcPr>
            <w:tcW w:type="dxa" w:w="945"/>
            <w:shd w:val="clear" w:color="auto" w:fill="1F3864"/>
          </w:tcPr>
          <w:p>
            <w:pPr>
              <w:spacing w:before="50" w:after="50"/>
              <w:jc w:val="right"/>
            </w:pPr>
            <w:r>
              <w:rPr>
                <w:b/>
                <w:color w:val="FFFFFF"/>
                <w:sz w:val="15"/>
              </w:rPr>
              <w:t>FY27E</w:t>
            </w:r>
          </w:p>
        </w:tc>
        <w:tc>
          <w:tcPr>
            <w:tcW w:type="dxa" w:w="945"/>
            <w:shd w:val="clear" w:color="auto" w:fill="1F3864"/>
          </w:tcPr>
          <w:p>
            <w:pPr>
              <w:spacing w:before="50" w:after="50"/>
              <w:jc w:val="right"/>
            </w:pPr>
            <w:r>
              <w:rPr>
                <w:b/>
                <w:color w:val="FFFFFF"/>
                <w:sz w:val="15"/>
              </w:rPr>
              <w:t>FY28E</w:t>
            </w:r>
          </w:p>
        </w:tc>
        <w:tc>
          <w:tcPr>
            <w:tcW w:type="dxa" w:w="945"/>
            <w:shd w:val="clear" w:color="auto" w:fill="1F3864"/>
          </w:tcPr>
          <w:p>
            <w:pPr>
              <w:spacing w:before="50" w:after="50"/>
              <w:jc w:val="right"/>
            </w:pPr>
            <w:r>
              <w:rPr>
                <w:b/>
                <w:color w:val="FFFFFF"/>
                <w:sz w:val="15"/>
              </w:rPr>
              <w:t>FY29E</w:t>
            </w:r>
          </w:p>
        </w:tc>
        <w:tc>
          <w:tcPr>
            <w:tcW w:type="dxa" w:w="945"/>
            <w:shd w:val="clear" w:color="auto" w:fill="1F3864"/>
          </w:tcPr>
          <w:p>
            <w:pPr>
              <w:spacing w:before="50" w:after="50"/>
              <w:jc w:val="right"/>
            </w:pPr>
            <w:r>
              <w:rPr>
                <w:b/>
                <w:color w:val="FFFFFF"/>
                <w:sz w:val="15"/>
              </w:rPr>
              <w:t>FY30E</w:t>
            </w:r>
          </w:p>
        </w:tc>
      </w:tr>
      <w:tr>
        <w:tc>
          <w:tcPr>
            <w:tcW w:type="dxa" w:w="1702"/>
          </w:tcPr>
          <w:p>
            <w:pPr>
              <w:spacing w:before="32" w:after="32" w:line="240" w:lineRule="auto"/>
              <w:jc w:val="left"/>
            </w:pPr>
            <w:r>
              <w:rPr>
                <w:b/>
                <w:color w:val="0B0B0B"/>
                <w:sz w:val="15"/>
              </w:rPr>
              <w:t>Revenue</w:t>
            </w:r>
          </w:p>
        </w:tc>
        <w:tc>
          <w:tcPr>
            <w:tcW w:type="dxa" w:w="945"/>
          </w:tcPr>
          <w:p>
            <w:pPr>
              <w:spacing w:before="32" w:after="32" w:line="240" w:lineRule="auto"/>
              <w:jc w:val="right"/>
            </w:pPr>
            <w:r>
              <w:rPr>
                <w:b/>
                <w:color w:val="0B0B0B"/>
                <w:sz w:val="15"/>
              </w:rPr>
              <w:t>8,167</w:t>
            </w:r>
          </w:p>
        </w:tc>
        <w:tc>
          <w:tcPr>
            <w:tcW w:type="dxa" w:w="945"/>
          </w:tcPr>
          <w:p>
            <w:pPr>
              <w:spacing w:before="32" w:after="32" w:line="240" w:lineRule="auto"/>
              <w:jc w:val="right"/>
            </w:pPr>
            <w:r>
              <w:rPr>
                <w:b/>
                <w:color w:val="0B0B0B"/>
                <w:sz w:val="15"/>
              </w:rPr>
              <w:t>10,332</w:t>
            </w:r>
          </w:p>
        </w:tc>
        <w:tc>
          <w:tcPr>
            <w:tcW w:type="dxa" w:w="945"/>
          </w:tcPr>
          <w:p>
            <w:pPr>
              <w:spacing w:before="32" w:after="32" w:line="240" w:lineRule="auto"/>
              <w:jc w:val="right"/>
            </w:pPr>
            <w:r>
              <w:rPr>
                <w:b/>
                <w:color w:val="0B0B0B"/>
                <w:sz w:val="15"/>
              </w:rPr>
              <w:t>11,486</w:t>
            </w:r>
          </w:p>
        </w:tc>
        <w:tc>
          <w:tcPr>
            <w:tcW w:type="dxa" w:w="945"/>
          </w:tcPr>
          <w:p>
            <w:pPr>
              <w:spacing w:before="32" w:after="32" w:line="240" w:lineRule="auto"/>
              <w:jc w:val="right"/>
            </w:pPr>
            <w:r>
              <w:rPr>
                <w:b/>
                <w:color w:val="0B0B0B"/>
                <w:sz w:val="15"/>
              </w:rPr>
              <w:t>11,745</w:t>
            </w:r>
          </w:p>
        </w:tc>
        <w:tc>
          <w:tcPr>
            <w:tcW w:type="dxa" w:w="945"/>
          </w:tcPr>
          <w:p>
            <w:pPr>
              <w:spacing w:before="32" w:after="32" w:line="240" w:lineRule="auto"/>
              <w:jc w:val="right"/>
            </w:pPr>
            <w:r>
              <w:rPr>
                <w:b/>
                <w:color w:val="0B0B0B"/>
                <w:sz w:val="15"/>
              </w:rPr>
              <w:t>18,901</w:t>
            </w:r>
          </w:p>
        </w:tc>
        <w:tc>
          <w:tcPr>
            <w:tcW w:type="dxa" w:w="945"/>
          </w:tcPr>
          <w:p>
            <w:pPr>
              <w:spacing w:before="32" w:after="32" w:line="240" w:lineRule="auto"/>
              <w:jc w:val="right"/>
            </w:pPr>
            <w:r>
              <w:rPr>
                <w:b/>
                <w:color w:val="0B0B0B"/>
                <w:sz w:val="15"/>
              </w:rPr>
              <w:t>26,535</w:t>
            </w:r>
          </w:p>
        </w:tc>
        <w:tc>
          <w:tcPr>
            <w:tcW w:type="dxa" w:w="945"/>
          </w:tcPr>
          <w:p>
            <w:pPr>
              <w:spacing w:before="32" w:after="32" w:line="240" w:lineRule="auto"/>
              <w:jc w:val="right"/>
            </w:pPr>
            <w:r>
              <w:rPr>
                <w:b/>
                <w:color w:val="0B0B0B"/>
                <w:sz w:val="15"/>
              </w:rPr>
              <w:t>30,359</w:t>
            </w:r>
          </w:p>
        </w:tc>
        <w:tc>
          <w:tcPr>
            <w:tcW w:type="dxa" w:w="945"/>
          </w:tcPr>
          <w:p>
            <w:pPr>
              <w:spacing w:before="32" w:after="32" w:line="240" w:lineRule="auto"/>
              <w:jc w:val="right"/>
            </w:pPr>
            <w:r>
              <w:rPr>
                <w:b/>
                <w:color w:val="0B0B0B"/>
                <w:sz w:val="15"/>
              </w:rPr>
              <w:t>35,511</w:t>
            </w:r>
          </w:p>
        </w:tc>
        <w:tc>
          <w:tcPr>
            <w:tcW w:type="dxa" w:w="945"/>
          </w:tcPr>
          <w:p>
            <w:pPr>
              <w:spacing w:before="32" w:after="32" w:line="240" w:lineRule="auto"/>
              <w:jc w:val="right"/>
            </w:pPr>
            <w:r>
              <w:rPr>
                <w:b/>
                <w:color w:val="0B0B0B"/>
                <w:sz w:val="15"/>
              </w:rPr>
              <w:t>39,506</w:t>
            </w:r>
          </w:p>
        </w:tc>
      </w:tr>
      <w:tr>
        <w:tc>
          <w:tcPr>
            <w:tcW w:type="dxa" w:w="1702"/>
            <w:shd w:val="clear" w:color="auto" w:fill="EEF3FA"/>
          </w:tcPr>
          <w:p>
            <w:pPr>
              <w:spacing w:before="32" w:after="32" w:line="240" w:lineRule="auto"/>
              <w:jc w:val="left"/>
            </w:pPr>
            <w:r>
              <w:rPr>
                <w:b w:val="0"/>
                <w:color w:val="0B0B0B"/>
                <w:sz w:val="15"/>
              </w:rPr>
              <w:t xml:space="preserve">  growth, yoy</w:t>
            </w:r>
          </w:p>
        </w:tc>
        <w:tc>
          <w:tcPr>
            <w:tcW w:type="dxa" w:w="945"/>
            <w:shd w:val="clear" w:color="auto" w:fill="EEF3FA"/>
          </w:tcPr>
          <w:p>
            <w:pPr>
              <w:spacing w:before="32" w:after="32" w:line="240" w:lineRule="auto"/>
              <w:jc w:val="right"/>
            </w:pPr>
            <w:r>
              <w:rPr>
                <w:b w:val="0"/>
                <w:color w:val="0B0B0B"/>
                <w:sz w:val="15"/>
              </w:rPr>
              <w:t>n/a</w:t>
            </w:r>
          </w:p>
        </w:tc>
        <w:tc>
          <w:tcPr>
            <w:tcW w:type="dxa" w:w="945"/>
            <w:shd w:val="clear" w:color="auto" w:fill="EEF3FA"/>
          </w:tcPr>
          <w:p>
            <w:pPr>
              <w:spacing w:before="32" w:after="32" w:line="240" w:lineRule="auto"/>
              <w:jc w:val="right"/>
            </w:pPr>
            <w:r>
              <w:rPr>
                <w:b w:val="0"/>
                <w:color w:val="0B0B0B"/>
                <w:sz w:val="15"/>
              </w:rPr>
              <w:t>27%</w:t>
            </w:r>
          </w:p>
        </w:tc>
        <w:tc>
          <w:tcPr>
            <w:tcW w:type="dxa" w:w="945"/>
            <w:shd w:val="clear" w:color="auto" w:fill="EEF3FA"/>
          </w:tcPr>
          <w:p>
            <w:pPr>
              <w:spacing w:before="32" w:after="32" w:line="240" w:lineRule="auto"/>
              <w:jc w:val="right"/>
            </w:pPr>
            <w:r>
              <w:rPr>
                <w:b w:val="0"/>
                <w:color w:val="0B0B0B"/>
                <w:sz w:val="15"/>
              </w:rPr>
              <w:t>11%</w:t>
            </w:r>
          </w:p>
        </w:tc>
        <w:tc>
          <w:tcPr>
            <w:tcW w:type="dxa" w:w="945"/>
            <w:shd w:val="clear" w:color="auto" w:fill="EEF3FA"/>
          </w:tcPr>
          <w:p>
            <w:pPr>
              <w:spacing w:before="32" w:after="32" w:line="240" w:lineRule="auto"/>
              <w:jc w:val="right"/>
            </w:pPr>
            <w:r>
              <w:rPr>
                <w:b w:val="0"/>
                <w:color w:val="0B0B0B"/>
                <w:sz w:val="15"/>
              </w:rPr>
              <w:t>2%</w:t>
            </w:r>
          </w:p>
        </w:tc>
        <w:tc>
          <w:tcPr>
            <w:tcW w:type="dxa" w:w="945"/>
            <w:shd w:val="clear" w:color="auto" w:fill="EEF3FA"/>
          </w:tcPr>
          <w:p>
            <w:pPr>
              <w:spacing w:before="32" w:after="32" w:line="240" w:lineRule="auto"/>
              <w:jc w:val="right"/>
            </w:pPr>
            <w:r>
              <w:rPr>
                <w:b w:val="0"/>
                <w:color w:val="0B0B0B"/>
                <w:sz w:val="15"/>
              </w:rPr>
              <w:t>61%</w:t>
            </w:r>
          </w:p>
        </w:tc>
        <w:tc>
          <w:tcPr>
            <w:tcW w:type="dxa" w:w="945"/>
            <w:shd w:val="clear" w:color="auto" w:fill="EEF3FA"/>
          </w:tcPr>
          <w:p>
            <w:pPr>
              <w:spacing w:before="32" w:after="32" w:line="240" w:lineRule="auto"/>
              <w:jc w:val="right"/>
            </w:pPr>
            <w:r>
              <w:rPr>
                <w:b w:val="0"/>
                <w:color w:val="0B0B0B"/>
                <w:sz w:val="15"/>
              </w:rPr>
              <w:t>40%</w:t>
            </w:r>
          </w:p>
        </w:tc>
        <w:tc>
          <w:tcPr>
            <w:tcW w:type="dxa" w:w="945"/>
            <w:shd w:val="clear" w:color="auto" w:fill="EEF3FA"/>
          </w:tcPr>
          <w:p>
            <w:pPr>
              <w:spacing w:before="32" w:after="32" w:line="240" w:lineRule="auto"/>
              <w:jc w:val="right"/>
            </w:pPr>
            <w:r>
              <w:rPr>
                <w:b w:val="0"/>
                <w:color w:val="0B0B0B"/>
                <w:sz w:val="15"/>
              </w:rPr>
              <w:t>14%</w:t>
            </w:r>
          </w:p>
        </w:tc>
        <w:tc>
          <w:tcPr>
            <w:tcW w:type="dxa" w:w="945"/>
            <w:shd w:val="clear" w:color="auto" w:fill="EEF3FA"/>
          </w:tcPr>
          <w:p>
            <w:pPr>
              <w:spacing w:before="32" w:after="32" w:line="240" w:lineRule="auto"/>
              <w:jc w:val="right"/>
            </w:pPr>
            <w:r>
              <w:rPr>
                <w:b w:val="0"/>
                <w:color w:val="0B0B0B"/>
                <w:sz w:val="15"/>
              </w:rPr>
              <w:t>17%</w:t>
            </w:r>
          </w:p>
        </w:tc>
        <w:tc>
          <w:tcPr>
            <w:tcW w:type="dxa" w:w="945"/>
            <w:shd w:val="clear" w:color="auto" w:fill="EEF3FA"/>
          </w:tcPr>
          <w:p>
            <w:pPr>
              <w:spacing w:before="32" w:after="32" w:line="240" w:lineRule="auto"/>
              <w:jc w:val="right"/>
            </w:pPr>
            <w:r>
              <w:rPr>
                <w:b w:val="0"/>
                <w:color w:val="0B0B0B"/>
                <w:sz w:val="15"/>
              </w:rPr>
              <w:t>11%</w:t>
            </w:r>
          </w:p>
        </w:tc>
      </w:tr>
      <w:tr>
        <w:tc>
          <w:tcPr>
            <w:tcW w:type="dxa" w:w="1702"/>
          </w:tcPr>
          <w:p>
            <w:pPr>
              <w:spacing w:before="32" w:after="32" w:line="240" w:lineRule="auto"/>
              <w:jc w:val="left"/>
            </w:pPr>
            <w:r>
              <w:rPr>
                <w:b/>
                <w:color w:val="0B0B0B"/>
                <w:sz w:val="15"/>
              </w:rPr>
              <w:t>EBITDA</w:t>
            </w:r>
          </w:p>
        </w:tc>
        <w:tc>
          <w:tcPr>
            <w:tcW w:type="dxa" w:w="945"/>
          </w:tcPr>
          <w:p>
            <w:pPr>
              <w:spacing w:before="32" w:after="32" w:line="240" w:lineRule="auto"/>
              <w:jc w:val="right"/>
            </w:pPr>
            <w:r>
              <w:rPr>
                <w:b/>
                <w:color w:val="0B0B0B"/>
                <w:sz w:val="15"/>
              </w:rPr>
              <w:t>3,569</w:t>
            </w:r>
          </w:p>
        </w:tc>
        <w:tc>
          <w:tcPr>
            <w:tcW w:type="dxa" w:w="945"/>
          </w:tcPr>
          <w:p>
            <w:pPr>
              <w:spacing w:before="32" w:after="32" w:line="240" w:lineRule="auto"/>
              <w:jc w:val="right"/>
            </w:pPr>
            <w:r>
              <w:rPr>
                <w:b/>
                <w:color w:val="0B0B0B"/>
                <w:sz w:val="15"/>
              </w:rPr>
              <w:t>3,282</w:t>
            </w:r>
          </w:p>
        </w:tc>
        <w:tc>
          <w:tcPr>
            <w:tcW w:type="dxa" w:w="945"/>
          </w:tcPr>
          <w:p>
            <w:pPr>
              <w:spacing w:before="32" w:after="32" w:line="240" w:lineRule="auto"/>
              <w:jc w:val="right"/>
            </w:pPr>
            <w:r>
              <w:rPr>
                <w:b/>
                <w:color w:val="0B0B0B"/>
                <w:sz w:val="15"/>
              </w:rPr>
              <w:t>5,382</w:t>
            </w:r>
          </w:p>
        </w:tc>
        <w:tc>
          <w:tcPr>
            <w:tcW w:type="dxa" w:w="945"/>
          </w:tcPr>
          <w:p>
            <w:pPr>
              <w:spacing w:before="32" w:after="32" w:line="240" w:lineRule="auto"/>
              <w:jc w:val="right"/>
            </w:pPr>
            <w:r>
              <w:rPr>
                <w:b/>
                <w:color w:val="0B0B0B"/>
                <w:sz w:val="15"/>
              </w:rPr>
              <w:t>5,221</w:t>
            </w:r>
          </w:p>
        </w:tc>
        <w:tc>
          <w:tcPr>
            <w:tcW w:type="dxa" w:w="945"/>
          </w:tcPr>
          <w:p>
            <w:pPr>
              <w:spacing w:before="32" w:after="32" w:line="240" w:lineRule="auto"/>
              <w:jc w:val="right"/>
            </w:pPr>
            <w:r>
              <w:rPr>
                <w:b/>
                <w:color w:val="0B0B0B"/>
                <w:sz w:val="15"/>
              </w:rPr>
              <w:t>10,064</w:t>
            </w:r>
          </w:p>
        </w:tc>
        <w:tc>
          <w:tcPr>
            <w:tcW w:type="dxa" w:w="945"/>
          </w:tcPr>
          <w:p>
            <w:pPr>
              <w:spacing w:before="32" w:after="32" w:line="240" w:lineRule="auto"/>
              <w:jc w:val="right"/>
            </w:pPr>
            <w:r>
              <w:rPr>
                <w:b/>
                <w:color w:val="0B0B0B"/>
                <w:sz w:val="15"/>
              </w:rPr>
              <w:t>12,952</w:t>
            </w:r>
          </w:p>
        </w:tc>
        <w:tc>
          <w:tcPr>
            <w:tcW w:type="dxa" w:w="945"/>
          </w:tcPr>
          <w:p>
            <w:pPr>
              <w:spacing w:before="32" w:after="32" w:line="240" w:lineRule="auto"/>
              <w:jc w:val="right"/>
            </w:pPr>
            <w:r>
              <w:rPr>
                <w:b/>
                <w:color w:val="0B0B0B"/>
                <w:sz w:val="15"/>
              </w:rPr>
              <w:t>15,942</w:t>
            </w:r>
          </w:p>
        </w:tc>
        <w:tc>
          <w:tcPr>
            <w:tcW w:type="dxa" w:w="945"/>
          </w:tcPr>
          <w:p>
            <w:pPr>
              <w:spacing w:before="32" w:after="32" w:line="240" w:lineRule="auto"/>
              <w:jc w:val="right"/>
            </w:pPr>
            <w:r>
              <w:rPr>
                <w:b/>
                <w:color w:val="0B0B0B"/>
                <w:sz w:val="15"/>
              </w:rPr>
              <w:t>20,212</w:t>
            </w:r>
          </w:p>
        </w:tc>
        <w:tc>
          <w:tcPr>
            <w:tcW w:type="dxa" w:w="945"/>
          </w:tcPr>
          <w:p>
            <w:pPr>
              <w:spacing w:before="32" w:after="32" w:line="240" w:lineRule="auto"/>
              <w:jc w:val="right"/>
            </w:pPr>
            <w:r>
              <w:rPr>
                <w:b/>
                <w:color w:val="0B0B0B"/>
                <w:sz w:val="15"/>
              </w:rPr>
              <w:t>23,536</w:t>
            </w:r>
          </w:p>
        </w:tc>
      </w:tr>
      <w:tr>
        <w:tc>
          <w:tcPr>
            <w:tcW w:type="dxa" w:w="1702"/>
            <w:shd w:val="clear" w:color="auto" w:fill="EEF3FA"/>
          </w:tcPr>
          <w:p>
            <w:pPr>
              <w:spacing w:before="32" w:after="32" w:line="240" w:lineRule="auto"/>
              <w:jc w:val="left"/>
            </w:pPr>
            <w:r>
              <w:rPr>
                <w:b w:val="0"/>
                <w:color w:val="0B0B0B"/>
                <w:sz w:val="15"/>
              </w:rPr>
              <w:t xml:space="preserve">  EBITDA margin</w:t>
            </w:r>
          </w:p>
        </w:tc>
        <w:tc>
          <w:tcPr>
            <w:tcW w:type="dxa" w:w="945"/>
            <w:shd w:val="clear" w:color="auto" w:fill="EEF3FA"/>
          </w:tcPr>
          <w:p>
            <w:pPr>
              <w:spacing w:before="32" w:after="32" w:line="240" w:lineRule="auto"/>
              <w:jc w:val="right"/>
            </w:pPr>
            <w:r>
              <w:rPr>
                <w:b w:val="0"/>
                <w:color w:val="0B0B0B"/>
                <w:sz w:val="15"/>
              </w:rPr>
              <w:t>43.7%</w:t>
            </w:r>
          </w:p>
        </w:tc>
        <w:tc>
          <w:tcPr>
            <w:tcW w:type="dxa" w:w="945"/>
            <w:shd w:val="clear" w:color="auto" w:fill="EEF3FA"/>
          </w:tcPr>
          <w:p>
            <w:pPr>
              <w:spacing w:before="32" w:after="32" w:line="240" w:lineRule="auto"/>
              <w:jc w:val="right"/>
            </w:pPr>
            <w:r>
              <w:rPr>
                <w:b w:val="0"/>
                <w:color w:val="0B0B0B"/>
                <w:sz w:val="15"/>
              </w:rPr>
              <w:t>31.8%</w:t>
            </w:r>
          </w:p>
        </w:tc>
        <w:tc>
          <w:tcPr>
            <w:tcW w:type="dxa" w:w="945"/>
            <w:shd w:val="clear" w:color="auto" w:fill="EEF3FA"/>
          </w:tcPr>
          <w:p>
            <w:pPr>
              <w:spacing w:before="32" w:after="32" w:line="240" w:lineRule="auto"/>
              <w:jc w:val="right"/>
            </w:pPr>
            <w:r>
              <w:rPr>
                <w:b w:val="0"/>
                <w:color w:val="0B0B0B"/>
                <w:sz w:val="15"/>
              </w:rPr>
              <w:t>46.9%</w:t>
            </w:r>
          </w:p>
        </w:tc>
        <w:tc>
          <w:tcPr>
            <w:tcW w:type="dxa" w:w="945"/>
            <w:shd w:val="clear" w:color="auto" w:fill="EEF3FA"/>
          </w:tcPr>
          <w:p>
            <w:pPr>
              <w:spacing w:before="32" w:after="32" w:line="240" w:lineRule="auto"/>
              <w:jc w:val="right"/>
            </w:pPr>
            <w:r>
              <w:rPr>
                <w:b w:val="0"/>
                <w:color w:val="0B0B0B"/>
                <w:sz w:val="15"/>
              </w:rPr>
              <w:t>44.4%</w:t>
            </w:r>
          </w:p>
        </w:tc>
        <w:tc>
          <w:tcPr>
            <w:tcW w:type="dxa" w:w="945"/>
            <w:shd w:val="clear" w:color="auto" w:fill="EEF3FA"/>
          </w:tcPr>
          <w:p>
            <w:pPr>
              <w:spacing w:before="32" w:after="32" w:line="240" w:lineRule="auto"/>
              <w:jc w:val="right"/>
            </w:pPr>
            <w:r>
              <w:rPr>
                <w:b w:val="0"/>
                <w:color w:val="0B0B0B"/>
                <w:sz w:val="15"/>
              </w:rPr>
              <w:t>53.2%</w:t>
            </w:r>
          </w:p>
        </w:tc>
        <w:tc>
          <w:tcPr>
            <w:tcW w:type="dxa" w:w="945"/>
            <w:shd w:val="clear" w:color="auto" w:fill="EEF3FA"/>
          </w:tcPr>
          <w:p>
            <w:pPr>
              <w:spacing w:before="32" w:after="32" w:line="240" w:lineRule="auto"/>
              <w:jc w:val="right"/>
            </w:pPr>
            <w:r>
              <w:rPr>
                <w:b w:val="0"/>
                <w:color w:val="0B0B0B"/>
                <w:sz w:val="15"/>
              </w:rPr>
              <w:t>48.8%</w:t>
            </w:r>
          </w:p>
        </w:tc>
        <w:tc>
          <w:tcPr>
            <w:tcW w:type="dxa" w:w="945"/>
            <w:shd w:val="clear" w:color="auto" w:fill="EEF3FA"/>
          </w:tcPr>
          <w:p>
            <w:pPr>
              <w:spacing w:before="32" w:after="32" w:line="240" w:lineRule="auto"/>
              <w:jc w:val="right"/>
            </w:pPr>
            <w:r>
              <w:rPr>
                <w:b w:val="0"/>
                <w:color w:val="0B0B0B"/>
                <w:sz w:val="15"/>
              </w:rPr>
              <w:t>52.5%</w:t>
            </w:r>
          </w:p>
        </w:tc>
        <w:tc>
          <w:tcPr>
            <w:tcW w:type="dxa" w:w="945"/>
            <w:shd w:val="clear" w:color="auto" w:fill="EEF3FA"/>
          </w:tcPr>
          <w:p>
            <w:pPr>
              <w:spacing w:before="32" w:after="32" w:line="240" w:lineRule="auto"/>
              <w:jc w:val="right"/>
            </w:pPr>
            <w:r>
              <w:rPr>
                <w:b w:val="0"/>
                <w:color w:val="0B0B0B"/>
                <w:sz w:val="15"/>
              </w:rPr>
              <w:t>56.9%</w:t>
            </w:r>
          </w:p>
        </w:tc>
        <w:tc>
          <w:tcPr>
            <w:tcW w:type="dxa" w:w="945"/>
            <w:shd w:val="clear" w:color="auto" w:fill="EEF3FA"/>
          </w:tcPr>
          <w:p>
            <w:pPr>
              <w:spacing w:before="32" w:after="32" w:line="240" w:lineRule="auto"/>
              <w:jc w:val="right"/>
            </w:pPr>
            <w:r>
              <w:rPr>
                <w:b w:val="0"/>
                <w:color w:val="0B0B0B"/>
                <w:sz w:val="15"/>
              </w:rPr>
              <w:t>59.6%</w:t>
            </w:r>
          </w:p>
        </w:tc>
      </w:tr>
      <w:tr>
        <w:tc>
          <w:tcPr>
            <w:tcW w:type="dxa" w:w="1702"/>
          </w:tcPr>
          <w:p>
            <w:pPr>
              <w:spacing w:before="32" w:after="32" w:line="240" w:lineRule="auto"/>
              <w:jc w:val="left"/>
            </w:pPr>
            <w:r>
              <w:rPr>
                <w:b w:val="0"/>
                <w:color w:val="0B0B0B"/>
                <w:sz w:val="15"/>
              </w:rPr>
              <w:t>Depreciation</w:t>
            </w:r>
          </w:p>
        </w:tc>
        <w:tc>
          <w:tcPr>
            <w:tcW w:type="dxa" w:w="945"/>
          </w:tcPr>
          <w:p>
            <w:pPr>
              <w:spacing w:before="32" w:after="32" w:line="240" w:lineRule="auto"/>
              <w:jc w:val="right"/>
            </w:pPr>
            <w:r>
              <w:rPr>
                <w:b w:val="0"/>
                <w:color w:val="0B0B0B"/>
                <w:sz w:val="15"/>
              </w:rPr>
              <w:t>1,131</w:t>
            </w:r>
          </w:p>
        </w:tc>
        <w:tc>
          <w:tcPr>
            <w:tcW w:type="dxa" w:w="945"/>
          </w:tcPr>
          <w:p>
            <w:pPr>
              <w:spacing w:before="32" w:after="32" w:line="240" w:lineRule="auto"/>
              <w:jc w:val="right"/>
            </w:pPr>
            <w:r>
              <w:rPr>
                <w:b w:val="0"/>
                <w:color w:val="0B0B0B"/>
                <w:sz w:val="15"/>
              </w:rPr>
              <w:t>1,169</w:t>
            </w:r>
          </w:p>
        </w:tc>
        <w:tc>
          <w:tcPr>
            <w:tcW w:type="dxa" w:w="945"/>
          </w:tcPr>
          <w:p>
            <w:pPr>
              <w:spacing w:before="32" w:after="32" w:line="240" w:lineRule="auto"/>
              <w:jc w:val="right"/>
            </w:pPr>
            <w:r>
              <w:rPr>
                <w:b w:val="0"/>
                <w:color w:val="0B0B0B"/>
                <w:sz w:val="15"/>
              </w:rPr>
              <w:t>1,633</w:t>
            </w:r>
          </w:p>
        </w:tc>
        <w:tc>
          <w:tcPr>
            <w:tcW w:type="dxa" w:w="945"/>
          </w:tcPr>
          <w:p>
            <w:pPr>
              <w:spacing w:before="32" w:after="32" w:line="240" w:lineRule="auto"/>
              <w:jc w:val="right"/>
            </w:pPr>
            <w:r>
              <w:rPr>
                <w:b w:val="0"/>
                <w:color w:val="0B0B0B"/>
                <w:sz w:val="15"/>
              </w:rPr>
              <w:t>1,655</w:t>
            </w:r>
          </w:p>
        </w:tc>
        <w:tc>
          <w:tcPr>
            <w:tcW w:type="dxa" w:w="945"/>
          </w:tcPr>
          <w:p>
            <w:pPr>
              <w:spacing w:before="32" w:after="32" w:line="240" w:lineRule="auto"/>
              <w:jc w:val="right"/>
            </w:pPr>
            <w:r>
              <w:rPr>
                <w:b w:val="0"/>
                <w:color w:val="0B0B0B"/>
                <w:sz w:val="15"/>
              </w:rPr>
              <w:t>3,185</w:t>
            </w:r>
          </w:p>
        </w:tc>
        <w:tc>
          <w:tcPr>
            <w:tcW w:type="dxa" w:w="945"/>
          </w:tcPr>
          <w:p>
            <w:pPr>
              <w:spacing w:before="32" w:after="32" w:line="240" w:lineRule="auto"/>
              <w:jc w:val="right"/>
            </w:pPr>
            <w:r>
              <w:rPr>
                <w:b w:val="0"/>
                <w:color w:val="0B0B0B"/>
                <w:sz w:val="15"/>
              </w:rPr>
              <w:t>3,722</w:t>
            </w:r>
          </w:p>
        </w:tc>
        <w:tc>
          <w:tcPr>
            <w:tcW w:type="dxa" w:w="945"/>
          </w:tcPr>
          <w:p>
            <w:pPr>
              <w:spacing w:before="32" w:after="32" w:line="240" w:lineRule="auto"/>
              <w:jc w:val="right"/>
            </w:pPr>
            <w:r>
              <w:rPr>
                <w:b w:val="0"/>
                <w:color w:val="0B0B0B"/>
                <w:sz w:val="15"/>
              </w:rPr>
              <w:t>4,558</w:t>
            </w:r>
          </w:p>
        </w:tc>
        <w:tc>
          <w:tcPr>
            <w:tcW w:type="dxa" w:w="945"/>
          </w:tcPr>
          <w:p>
            <w:pPr>
              <w:spacing w:before="32" w:after="32" w:line="240" w:lineRule="auto"/>
              <w:jc w:val="right"/>
            </w:pPr>
            <w:r>
              <w:rPr>
                <w:b w:val="0"/>
                <w:color w:val="0B0B0B"/>
                <w:sz w:val="15"/>
              </w:rPr>
              <w:t>5,487</w:t>
            </w:r>
          </w:p>
        </w:tc>
        <w:tc>
          <w:tcPr>
            <w:tcW w:type="dxa" w:w="945"/>
          </w:tcPr>
          <w:p>
            <w:pPr>
              <w:spacing w:before="32" w:after="32" w:line="240" w:lineRule="auto"/>
              <w:jc w:val="right"/>
            </w:pPr>
            <w:r>
              <w:rPr>
                <w:b w:val="0"/>
                <w:color w:val="0B0B0B"/>
                <w:sz w:val="15"/>
              </w:rPr>
              <w:t>6,420</w:t>
            </w:r>
          </w:p>
        </w:tc>
      </w:tr>
      <w:tr>
        <w:tc>
          <w:tcPr>
            <w:tcW w:type="dxa" w:w="1702"/>
            <w:shd w:val="clear" w:color="auto" w:fill="EEF3FA"/>
          </w:tcPr>
          <w:p>
            <w:pPr>
              <w:spacing w:before="32" w:after="32" w:line="240" w:lineRule="auto"/>
              <w:jc w:val="left"/>
            </w:pPr>
            <w:r>
              <w:rPr>
                <w:b w:val="0"/>
                <w:color w:val="0B0B0B"/>
                <w:sz w:val="15"/>
              </w:rPr>
              <w:t>Other income</w:t>
            </w:r>
          </w:p>
        </w:tc>
        <w:tc>
          <w:tcPr>
            <w:tcW w:type="dxa" w:w="945"/>
            <w:shd w:val="clear" w:color="auto" w:fill="EEF3FA"/>
          </w:tcPr>
          <w:p>
            <w:pPr>
              <w:spacing w:before="32" w:after="32" w:line="240" w:lineRule="auto"/>
              <w:jc w:val="right"/>
            </w:pPr>
            <w:r>
              <w:rPr>
                <w:b w:val="0"/>
                <w:color w:val="0B0B0B"/>
                <w:sz w:val="15"/>
              </w:rPr>
              <w:t>569</w:t>
            </w:r>
          </w:p>
        </w:tc>
        <w:tc>
          <w:tcPr>
            <w:tcW w:type="dxa" w:w="945"/>
            <w:shd w:val="clear" w:color="auto" w:fill="EEF3FA"/>
          </w:tcPr>
          <w:p>
            <w:pPr>
              <w:spacing w:before="32" w:after="32" w:line="240" w:lineRule="auto"/>
              <w:jc w:val="right"/>
            </w:pPr>
            <w:r>
              <w:rPr>
                <w:b w:val="0"/>
                <w:color w:val="0B0B0B"/>
                <w:sz w:val="15"/>
              </w:rPr>
              <w:t>535</w:t>
            </w:r>
          </w:p>
        </w:tc>
        <w:tc>
          <w:tcPr>
            <w:tcW w:type="dxa" w:w="945"/>
            <w:shd w:val="clear" w:color="auto" w:fill="EEF3FA"/>
          </w:tcPr>
          <w:p>
            <w:pPr>
              <w:spacing w:before="32" w:after="32" w:line="240" w:lineRule="auto"/>
              <w:jc w:val="right"/>
            </w:pPr>
            <w:r>
              <w:rPr>
                <w:b w:val="0"/>
                <w:color w:val="0B0B0B"/>
                <w:sz w:val="15"/>
              </w:rPr>
              <w:t>455</w:t>
            </w:r>
          </w:p>
        </w:tc>
        <w:tc>
          <w:tcPr>
            <w:tcW w:type="dxa" w:w="945"/>
            <w:shd w:val="clear" w:color="auto" w:fill="EEF3FA"/>
          </w:tcPr>
          <w:p>
            <w:pPr>
              <w:spacing w:before="32" w:after="32" w:line="240" w:lineRule="auto"/>
              <w:jc w:val="right"/>
            </w:pPr>
            <w:r>
              <w:rPr>
                <w:b w:val="0"/>
                <w:color w:val="0B0B0B"/>
                <w:sz w:val="15"/>
              </w:rPr>
              <w:t>894</w:t>
            </w:r>
          </w:p>
        </w:tc>
        <w:tc>
          <w:tcPr>
            <w:tcW w:type="dxa" w:w="945"/>
            <w:shd w:val="clear" w:color="auto" w:fill="EEF3FA"/>
          </w:tcPr>
          <w:p>
            <w:pPr>
              <w:spacing w:before="32" w:after="32" w:line="240" w:lineRule="auto"/>
              <w:jc w:val="right"/>
            </w:pPr>
            <w:r>
              <w:rPr>
                <w:b w:val="0"/>
                <w:color w:val="0B0B0B"/>
                <w:sz w:val="15"/>
              </w:rPr>
              <w:t>977</w:t>
            </w:r>
          </w:p>
        </w:tc>
        <w:tc>
          <w:tcPr>
            <w:tcW w:type="dxa" w:w="945"/>
            <w:shd w:val="clear" w:color="auto" w:fill="EEF3FA"/>
          </w:tcPr>
          <w:p>
            <w:pPr>
              <w:spacing w:before="32" w:after="32" w:line="240" w:lineRule="auto"/>
              <w:jc w:val="right"/>
            </w:pPr>
            <w:r>
              <w:rPr>
                <w:b w:val="0"/>
                <w:color w:val="0B0B0B"/>
                <w:sz w:val="15"/>
              </w:rPr>
              <w:t>1,039</w:t>
            </w:r>
          </w:p>
        </w:tc>
        <w:tc>
          <w:tcPr>
            <w:tcW w:type="dxa" w:w="945"/>
            <w:shd w:val="clear" w:color="auto" w:fill="EEF3FA"/>
          </w:tcPr>
          <w:p>
            <w:pPr>
              <w:spacing w:before="32" w:after="32" w:line="240" w:lineRule="auto"/>
              <w:jc w:val="right"/>
            </w:pPr>
            <w:r>
              <w:rPr>
                <w:b w:val="0"/>
                <w:color w:val="0B0B0B"/>
                <w:sz w:val="15"/>
              </w:rPr>
              <w:t>992</w:t>
            </w:r>
          </w:p>
        </w:tc>
        <w:tc>
          <w:tcPr>
            <w:tcW w:type="dxa" w:w="945"/>
            <w:shd w:val="clear" w:color="auto" w:fill="EEF3FA"/>
          </w:tcPr>
          <w:p>
            <w:pPr>
              <w:spacing w:before="32" w:after="32" w:line="240" w:lineRule="auto"/>
              <w:jc w:val="right"/>
            </w:pPr>
            <w:r>
              <w:rPr>
                <w:b w:val="0"/>
                <w:color w:val="0B0B0B"/>
                <w:sz w:val="15"/>
              </w:rPr>
              <w:t>887</w:t>
            </w:r>
          </w:p>
        </w:tc>
        <w:tc>
          <w:tcPr>
            <w:tcW w:type="dxa" w:w="945"/>
            <w:shd w:val="clear" w:color="auto" w:fill="EEF3FA"/>
          </w:tcPr>
          <w:p>
            <w:pPr>
              <w:spacing w:before="32" w:after="32" w:line="240" w:lineRule="auto"/>
              <w:jc w:val="right"/>
            </w:pPr>
            <w:r>
              <w:rPr>
                <w:b w:val="0"/>
                <w:color w:val="0B0B0B"/>
                <w:sz w:val="15"/>
              </w:rPr>
              <w:t>720</w:t>
            </w:r>
          </w:p>
        </w:tc>
      </w:tr>
      <w:tr>
        <w:tc>
          <w:tcPr>
            <w:tcW w:type="dxa" w:w="1702"/>
          </w:tcPr>
          <w:p>
            <w:pPr>
              <w:spacing w:before="32" w:after="32" w:line="240" w:lineRule="auto"/>
              <w:jc w:val="left"/>
            </w:pPr>
            <w:r>
              <w:rPr>
                <w:b w:val="0"/>
                <w:color w:val="0B0B0B"/>
                <w:sz w:val="15"/>
              </w:rPr>
              <w:t>Interest expense</w:t>
            </w:r>
          </w:p>
        </w:tc>
        <w:tc>
          <w:tcPr>
            <w:tcW w:type="dxa" w:w="945"/>
          </w:tcPr>
          <w:p>
            <w:pPr>
              <w:spacing w:before="32" w:after="32" w:line="240" w:lineRule="auto"/>
              <w:jc w:val="right"/>
            </w:pPr>
            <w:r>
              <w:rPr>
                <w:b w:val="0"/>
                <w:color w:val="0B0B0B"/>
                <w:sz w:val="15"/>
              </w:rPr>
              <w:t>777</w:t>
            </w:r>
          </w:p>
        </w:tc>
        <w:tc>
          <w:tcPr>
            <w:tcW w:type="dxa" w:w="945"/>
          </w:tcPr>
          <w:p>
            <w:pPr>
              <w:spacing w:before="32" w:after="32" w:line="240" w:lineRule="auto"/>
              <w:jc w:val="right"/>
            </w:pPr>
            <w:r>
              <w:rPr>
                <w:b w:val="0"/>
                <w:color w:val="0B0B0B"/>
                <w:sz w:val="15"/>
              </w:rPr>
              <w:t>844</w:t>
            </w:r>
          </w:p>
        </w:tc>
        <w:tc>
          <w:tcPr>
            <w:tcW w:type="dxa" w:w="945"/>
          </w:tcPr>
          <w:p>
            <w:pPr>
              <w:spacing w:before="32" w:after="32" w:line="240" w:lineRule="auto"/>
              <w:jc w:val="right"/>
            </w:pPr>
            <w:r>
              <w:rPr>
                <w:b w:val="0"/>
                <w:color w:val="0B0B0B"/>
                <w:sz w:val="15"/>
              </w:rPr>
              <w:t>2,053</w:t>
            </w:r>
          </w:p>
        </w:tc>
        <w:tc>
          <w:tcPr>
            <w:tcW w:type="dxa" w:w="945"/>
          </w:tcPr>
          <w:p>
            <w:pPr>
              <w:spacing w:before="32" w:after="32" w:line="240" w:lineRule="auto"/>
              <w:jc w:val="right"/>
            </w:pPr>
            <w:r>
              <w:rPr>
                <w:b w:val="0"/>
                <w:color w:val="0B0B0B"/>
                <w:sz w:val="15"/>
              </w:rPr>
              <w:t>2,269</w:t>
            </w:r>
          </w:p>
        </w:tc>
        <w:tc>
          <w:tcPr>
            <w:tcW w:type="dxa" w:w="945"/>
          </w:tcPr>
          <w:p>
            <w:pPr>
              <w:spacing w:before="32" w:after="32" w:line="240" w:lineRule="auto"/>
              <w:jc w:val="right"/>
            </w:pPr>
            <w:r>
              <w:rPr>
                <w:b w:val="0"/>
                <w:color w:val="0B0B0B"/>
                <w:sz w:val="15"/>
              </w:rPr>
              <w:t>5,816</w:t>
            </w:r>
          </w:p>
        </w:tc>
        <w:tc>
          <w:tcPr>
            <w:tcW w:type="dxa" w:w="945"/>
          </w:tcPr>
          <w:p>
            <w:pPr>
              <w:spacing w:before="32" w:after="32" w:line="240" w:lineRule="auto"/>
              <w:jc w:val="right"/>
            </w:pPr>
            <w:r>
              <w:rPr>
                <w:b w:val="0"/>
                <w:color w:val="0B0B0B"/>
                <w:sz w:val="15"/>
              </w:rPr>
              <w:t>6,196</w:t>
            </w:r>
          </w:p>
        </w:tc>
        <w:tc>
          <w:tcPr>
            <w:tcW w:type="dxa" w:w="945"/>
          </w:tcPr>
          <w:p>
            <w:pPr>
              <w:spacing w:before="32" w:after="32" w:line="240" w:lineRule="auto"/>
              <w:jc w:val="right"/>
            </w:pPr>
            <w:r>
              <w:rPr>
                <w:b w:val="0"/>
                <w:color w:val="0B0B0B"/>
                <w:sz w:val="15"/>
              </w:rPr>
              <w:t>7,510</w:t>
            </w:r>
          </w:p>
        </w:tc>
        <w:tc>
          <w:tcPr>
            <w:tcW w:type="dxa" w:w="945"/>
          </w:tcPr>
          <w:p>
            <w:pPr>
              <w:spacing w:before="32" w:after="32" w:line="240" w:lineRule="auto"/>
              <w:jc w:val="right"/>
            </w:pPr>
            <w:r>
              <w:rPr>
                <w:b w:val="0"/>
                <w:color w:val="0B0B0B"/>
                <w:sz w:val="15"/>
              </w:rPr>
              <w:t>9,309</w:t>
            </w:r>
          </w:p>
        </w:tc>
        <w:tc>
          <w:tcPr>
            <w:tcW w:type="dxa" w:w="945"/>
          </w:tcPr>
          <w:p>
            <w:pPr>
              <w:spacing w:before="32" w:after="32" w:line="240" w:lineRule="auto"/>
              <w:jc w:val="right"/>
            </w:pPr>
            <w:r>
              <w:rPr>
                <w:b w:val="0"/>
                <w:color w:val="0B0B0B"/>
                <w:sz w:val="15"/>
              </w:rPr>
              <w:t>10,084</w:t>
            </w:r>
          </w:p>
        </w:tc>
      </w:tr>
      <w:tr>
        <w:tc>
          <w:tcPr>
            <w:tcW w:type="dxa" w:w="1702"/>
            <w:shd w:val="clear" w:color="auto" w:fill="EEF3FA"/>
          </w:tcPr>
          <w:p>
            <w:pPr>
              <w:spacing w:before="32" w:after="32" w:line="240" w:lineRule="auto"/>
              <w:jc w:val="left"/>
            </w:pPr>
            <w:r>
              <w:rPr>
                <w:b w:val="0"/>
                <w:color w:val="0B0B0B"/>
                <w:sz w:val="15"/>
              </w:rPr>
              <w:t>PBT (reported)</w:t>
            </w:r>
          </w:p>
        </w:tc>
        <w:tc>
          <w:tcPr>
            <w:tcW w:type="dxa" w:w="945"/>
            <w:shd w:val="clear" w:color="auto" w:fill="EEF3FA"/>
          </w:tcPr>
          <w:p>
            <w:pPr>
              <w:spacing w:before="32" w:after="32" w:line="240" w:lineRule="auto"/>
              <w:jc w:val="right"/>
            </w:pPr>
            <w:r>
              <w:rPr>
                <w:b w:val="0"/>
                <w:color w:val="0B0B0B"/>
                <w:sz w:val="15"/>
              </w:rPr>
              <w:t>2,230</w:t>
            </w:r>
          </w:p>
        </w:tc>
        <w:tc>
          <w:tcPr>
            <w:tcW w:type="dxa" w:w="945"/>
            <w:shd w:val="clear" w:color="auto" w:fill="EEF3FA"/>
          </w:tcPr>
          <w:p>
            <w:pPr>
              <w:spacing w:before="32" w:after="32" w:line="240" w:lineRule="auto"/>
              <w:jc w:val="right"/>
            </w:pPr>
            <w:r>
              <w:rPr>
                <w:b w:val="0"/>
                <w:color w:val="0B0B0B"/>
                <w:sz w:val="15"/>
              </w:rPr>
              <w:t>1,924</w:t>
            </w:r>
          </w:p>
        </w:tc>
        <w:tc>
          <w:tcPr>
            <w:tcW w:type="dxa" w:w="945"/>
            <w:shd w:val="clear" w:color="auto" w:fill="EEF3FA"/>
          </w:tcPr>
          <w:p>
            <w:pPr>
              <w:spacing w:before="32" w:after="32" w:line="240" w:lineRule="auto"/>
              <w:jc w:val="right"/>
            </w:pPr>
            <w:r>
              <w:rPr>
                <w:b w:val="0"/>
                <w:color w:val="0B0B0B"/>
                <w:sz w:val="15"/>
              </w:rPr>
              <w:t>2,150</w:t>
            </w:r>
          </w:p>
        </w:tc>
        <w:tc>
          <w:tcPr>
            <w:tcW w:type="dxa" w:w="945"/>
            <w:shd w:val="clear" w:color="auto" w:fill="EEF3FA"/>
          </w:tcPr>
          <w:p>
            <w:pPr>
              <w:spacing w:before="32" w:after="32" w:line="240" w:lineRule="auto"/>
              <w:jc w:val="right"/>
            </w:pPr>
            <w:r>
              <w:rPr>
                <w:b w:val="0"/>
                <w:color w:val="0B0B0B"/>
                <w:sz w:val="15"/>
              </w:rPr>
              <w:t>2,191</w:t>
            </w:r>
          </w:p>
        </w:tc>
        <w:tc>
          <w:tcPr>
            <w:tcW w:type="dxa" w:w="945"/>
            <w:shd w:val="clear" w:color="auto" w:fill="EEF3FA"/>
          </w:tcPr>
          <w:p>
            <w:pPr>
              <w:spacing w:before="32" w:after="32" w:line="240" w:lineRule="auto"/>
              <w:jc w:val="right"/>
            </w:pPr>
            <w:r>
              <w:rPr>
                <w:b w:val="0"/>
                <w:color w:val="0B0B0B"/>
                <w:sz w:val="15"/>
              </w:rPr>
              <w:t>1,974</w:t>
            </w:r>
          </w:p>
        </w:tc>
        <w:tc>
          <w:tcPr>
            <w:tcW w:type="dxa" w:w="945"/>
            <w:shd w:val="clear" w:color="auto" w:fill="EEF3FA"/>
          </w:tcPr>
          <w:p>
            <w:pPr>
              <w:spacing w:before="32" w:after="32" w:line="240" w:lineRule="auto"/>
              <w:jc w:val="right"/>
            </w:pPr>
            <w:r>
              <w:rPr>
                <w:b w:val="0"/>
                <w:color w:val="0B0B0B"/>
                <w:sz w:val="15"/>
              </w:rPr>
              <w:t>4,074</w:t>
            </w:r>
          </w:p>
        </w:tc>
        <w:tc>
          <w:tcPr>
            <w:tcW w:type="dxa" w:w="945"/>
            <w:shd w:val="clear" w:color="auto" w:fill="EEF3FA"/>
          </w:tcPr>
          <w:p>
            <w:pPr>
              <w:spacing w:before="32" w:after="32" w:line="240" w:lineRule="auto"/>
              <w:jc w:val="right"/>
            </w:pPr>
            <w:r>
              <w:rPr>
                <w:b w:val="0"/>
                <w:color w:val="0B0B0B"/>
                <w:sz w:val="15"/>
              </w:rPr>
              <w:t>4,866</w:t>
            </w:r>
          </w:p>
        </w:tc>
        <w:tc>
          <w:tcPr>
            <w:tcW w:type="dxa" w:w="945"/>
            <w:shd w:val="clear" w:color="auto" w:fill="EEF3FA"/>
          </w:tcPr>
          <w:p>
            <w:pPr>
              <w:spacing w:before="32" w:after="32" w:line="240" w:lineRule="auto"/>
              <w:jc w:val="right"/>
            </w:pPr>
            <w:r>
              <w:rPr>
                <w:b w:val="0"/>
                <w:color w:val="0B0B0B"/>
                <w:sz w:val="15"/>
              </w:rPr>
              <w:t>6,304</w:t>
            </w:r>
          </w:p>
        </w:tc>
        <w:tc>
          <w:tcPr>
            <w:tcW w:type="dxa" w:w="945"/>
            <w:shd w:val="clear" w:color="auto" w:fill="EEF3FA"/>
          </w:tcPr>
          <w:p>
            <w:pPr>
              <w:spacing w:before="32" w:after="32" w:line="240" w:lineRule="auto"/>
              <w:jc w:val="right"/>
            </w:pPr>
            <w:r>
              <w:rPr>
                <w:b w:val="0"/>
                <w:color w:val="0B0B0B"/>
                <w:sz w:val="15"/>
              </w:rPr>
              <w:t>7,751</w:t>
            </w:r>
          </w:p>
        </w:tc>
      </w:tr>
      <w:tr>
        <w:tc>
          <w:tcPr>
            <w:tcW w:type="dxa" w:w="1702"/>
          </w:tcPr>
          <w:p>
            <w:pPr>
              <w:spacing w:before="32" w:after="32" w:line="240" w:lineRule="auto"/>
              <w:jc w:val="left"/>
            </w:pPr>
            <w:r>
              <w:rPr>
                <w:b w:val="0"/>
                <w:color w:val="0B0B0B"/>
                <w:sz w:val="15"/>
              </w:rPr>
              <w:t>Tax</w:t>
            </w:r>
          </w:p>
        </w:tc>
        <w:tc>
          <w:tcPr>
            <w:tcW w:type="dxa" w:w="945"/>
          </w:tcPr>
          <w:p>
            <w:pPr>
              <w:spacing w:before="32" w:after="32" w:line="240" w:lineRule="auto"/>
              <w:jc w:val="right"/>
            </w:pPr>
            <w:r>
              <w:rPr>
                <w:b w:val="0"/>
                <w:color w:val="0B0B0B"/>
                <w:sz w:val="15"/>
              </w:rPr>
              <w:t>495</w:t>
            </w:r>
          </w:p>
        </w:tc>
        <w:tc>
          <w:tcPr>
            <w:tcW w:type="dxa" w:w="945"/>
          </w:tcPr>
          <w:p>
            <w:pPr>
              <w:spacing w:before="32" w:after="32" w:line="240" w:lineRule="auto"/>
              <w:jc w:val="right"/>
            </w:pPr>
            <w:r>
              <w:rPr>
                <w:b w:val="0"/>
                <w:color w:val="0B0B0B"/>
                <w:sz w:val="15"/>
              </w:rPr>
              <w:t>463</w:t>
            </w:r>
          </w:p>
        </w:tc>
        <w:tc>
          <w:tcPr>
            <w:tcW w:type="dxa" w:w="945"/>
          </w:tcPr>
          <w:p>
            <w:pPr>
              <w:spacing w:before="32" w:after="32" w:line="240" w:lineRule="auto"/>
              <w:jc w:val="right"/>
            </w:pPr>
            <w:r>
              <w:rPr>
                <w:b w:val="0"/>
                <w:color w:val="0B0B0B"/>
                <w:sz w:val="15"/>
              </w:rPr>
              <w:t>442</w:t>
            </w:r>
          </w:p>
        </w:tc>
        <w:tc>
          <w:tcPr>
            <w:tcW w:type="dxa" w:w="945"/>
          </w:tcPr>
          <w:p>
            <w:pPr>
              <w:spacing w:before="32" w:after="32" w:line="240" w:lineRule="auto"/>
              <w:jc w:val="right"/>
            </w:pPr>
            <w:r>
              <w:rPr>
                <w:b w:val="0"/>
                <w:color w:val="0B0B0B"/>
                <w:sz w:val="15"/>
              </w:rPr>
              <w:t>231</w:t>
            </w:r>
          </w:p>
        </w:tc>
        <w:tc>
          <w:tcPr>
            <w:tcW w:type="dxa" w:w="945"/>
          </w:tcPr>
          <w:p>
            <w:pPr>
              <w:spacing w:before="32" w:after="32" w:line="240" w:lineRule="auto"/>
              <w:jc w:val="right"/>
            </w:pPr>
            <w:r>
              <w:rPr>
                <w:b w:val="0"/>
                <w:color w:val="0B0B0B"/>
                <w:sz w:val="15"/>
              </w:rPr>
              <w:t>-777</w:t>
            </w:r>
          </w:p>
        </w:tc>
        <w:tc>
          <w:tcPr>
            <w:tcW w:type="dxa" w:w="945"/>
          </w:tcPr>
          <w:p>
            <w:pPr>
              <w:spacing w:before="32" w:after="32" w:line="240" w:lineRule="auto"/>
              <w:jc w:val="right"/>
            </w:pPr>
            <w:r>
              <w:rPr>
                <w:b w:val="0"/>
                <w:color w:val="0B0B0B"/>
                <w:sz w:val="15"/>
              </w:rPr>
              <w:t>1,018</w:t>
            </w:r>
          </w:p>
        </w:tc>
        <w:tc>
          <w:tcPr>
            <w:tcW w:type="dxa" w:w="945"/>
          </w:tcPr>
          <w:p>
            <w:pPr>
              <w:spacing w:before="32" w:after="32" w:line="240" w:lineRule="auto"/>
              <w:jc w:val="right"/>
            </w:pPr>
            <w:r>
              <w:rPr>
                <w:b w:val="0"/>
                <w:color w:val="0B0B0B"/>
                <w:sz w:val="15"/>
              </w:rPr>
              <w:t>1,217</w:t>
            </w:r>
          </w:p>
        </w:tc>
        <w:tc>
          <w:tcPr>
            <w:tcW w:type="dxa" w:w="945"/>
          </w:tcPr>
          <w:p>
            <w:pPr>
              <w:spacing w:before="32" w:after="32" w:line="240" w:lineRule="auto"/>
              <w:jc w:val="right"/>
            </w:pPr>
            <w:r>
              <w:rPr>
                <w:b w:val="0"/>
                <w:color w:val="0B0B0B"/>
                <w:sz w:val="15"/>
              </w:rPr>
              <w:t>1,576</w:t>
            </w:r>
          </w:p>
        </w:tc>
        <w:tc>
          <w:tcPr>
            <w:tcW w:type="dxa" w:w="945"/>
          </w:tcPr>
          <w:p>
            <w:pPr>
              <w:spacing w:before="32" w:after="32" w:line="240" w:lineRule="auto"/>
              <w:jc w:val="right"/>
            </w:pPr>
            <w:r>
              <w:rPr>
                <w:b w:val="0"/>
                <w:color w:val="0B0B0B"/>
                <w:sz w:val="15"/>
              </w:rPr>
              <w:t>1,938</w:t>
            </w:r>
          </w:p>
        </w:tc>
      </w:tr>
      <w:tr>
        <w:tc>
          <w:tcPr>
            <w:tcW w:type="dxa" w:w="1702"/>
            <w:shd w:val="clear" w:color="auto" w:fill="EEF3FA"/>
          </w:tcPr>
          <w:p>
            <w:pPr>
              <w:spacing w:before="32" w:after="32" w:line="240" w:lineRule="auto"/>
              <w:jc w:val="left"/>
            </w:pPr>
            <w:r>
              <w:rPr>
                <w:b w:val="0"/>
                <w:color w:val="0B0B0B"/>
                <w:sz w:val="15"/>
              </w:rPr>
              <w:t xml:space="preserve">  effective tax rate</w:t>
            </w:r>
          </w:p>
        </w:tc>
        <w:tc>
          <w:tcPr>
            <w:tcW w:type="dxa" w:w="945"/>
            <w:shd w:val="clear" w:color="auto" w:fill="EEF3FA"/>
          </w:tcPr>
          <w:p>
            <w:pPr>
              <w:spacing w:before="32" w:after="32" w:line="240" w:lineRule="auto"/>
              <w:jc w:val="right"/>
            </w:pPr>
            <w:r>
              <w:rPr>
                <w:b w:val="0"/>
                <w:color w:val="0B0B0B"/>
                <w:sz w:val="15"/>
              </w:rPr>
              <w:t>22.2%</w:t>
            </w:r>
          </w:p>
        </w:tc>
        <w:tc>
          <w:tcPr>
            <w:tcW w:type="dxa" w:w="945"/>
            <w:shd w:val="clear" w:color="auto" w:fill="EEF3FA"/>
          </w:tcPr>
          <w:p>
            <w:pPr>
              <w:spacing w:before="32" w:after="32" w:line="240" w:lineRule="auto"/>
              <w:jc w:val="right"/>
            </w:pPr>
            <w:r>
              <w:rPr>
                <w:b w:val="0"/>
                <w:color w:val="0B0B0B"/>
                <w:sz w:val="15"/>
              </w:rPr>
              <w:t>24.1%</w:t>
            </w:r>
          </w:p>
        </w:tc>
        <w:tc>
          <w:tcPr>
            <w:tcW w:type="dxa" w:w="945"/>
            <w:shd w:val="clear" w:color="auto" w:fill="EEF3FA"/>
          </w:tcPr>
          <w:p>
            <w:pPr>
              <w:spacing w:before="32" w:after="32" w:line="240" w:lineRule="auto"/>
              <w:jc w:val="right"/>
            </w:pPr>
            <w:r>
              <w:rPr>
                <w:b w:val="0"/>
                <w:color w:val="0B0B0B"/>
                <w:sz w:val="15"/>
              </w:rPr>
              <w:t>20.6%</w:t>
            </w:r>
          </w:p>
        </w:tc>
        <w:tc>
          <w:tcPr>
            <w:tcW w:type="dxa" w:w="945"/>
            <w:shd w:val="clear" w:color="auto" w:fill="EEF3FA"/>
          </w:tcPr>
          <w:p>
            <w:pPr>
              <w:spacing w:before="32" w:after="32" w:line="240" w:lineRule="auto"/>
              <w:jc w:val="right"/>
            </w:pPr>
            <w:r>
              <w:rPr>
                <w:b w:val="0"/>
                <w:color w:val="0B0B0B"/>
                <w:sz w:val="15"/>
              </w:rPr>
              <w:t>10.5%</w:t>
            </w:r>
          </w:p>
        </w:tc>
        <w:tc>
          <w:tcPr>
            <w:tcW w:type="dxa" w:w="945"/>
            <w:shd w:val="clear" w:color="auto" w:fill="EEF3FA"/>
          </w:tcPr>
          <w:p>
            <w:pPr>
              <w:spacing w:before="32" w:after="32" w:line="240" w:lineRule="auto"/>
              <w:jc w:val="right"/>
            </w:pPr>
            <w:r>
              <w:rPr>
                <w:b w:val="0"/>
                <w:color w:val="0B0B0B"/>
                <w:sz w:val="15"/>
              </w:rPr>
              <w:t>-39.3%</w:t>
            </w:r>
          </w:p>
        </w:tc>
        <w:tc>
          <w:tcPr>
            <w:tcW w:type="dxa" w:w="945"/>
            <w:shd w:val="clear" w:color="auto" w:fill="EEF3FA"/>
          </w:tcPr>
          <w:p>
            <w:pPr>
              <w:spacing w:before="32" w:after="32" w:line="240" w:lineRule="auto"/>
              <w:jc w:val="right"/>
            </w:pPr>
            <w:r>
              <w:rPr>
                <w:b w:val="0"/>
                <w:color w:val="0B0B0B"/>
                <w:sz w:val="15"/>
              </w:rPr>
              <w:t>25.0%</w:t>
            </w:r>
          </w:p>
        </w:tc>
        <w:tc>
          <w:tcPr>
            <w:tcW w:type="dxa" w:w="945"/>
            <w:shd w:val="clear" w:color="auto" w:fill="EEF3FA"/>
          </w:tcPr>
          <w:p>
            <w:pPr>
              <w:spacing w:before="32" w:after="32" w:line="240" w:lineRule="auto"/>
              <w:jc w:val="right"/>
            </w:pPr>
            <w:r>
              <w:rPr>
                <w:b w:val="0"/>
                <w:color w:val="0B0B0B"/>
                <w:sz w:val="15"/>
              </w:rPr>
              <w:t>25.0%</w:t>
            </w:r>
          </w:p>
        </w:tc>
        <w:tc>
          <w:tcPr>
            <w:tcW w:type="dxa" w:w="945"/>
            <w:shd w:val="clear" w:color="auto" w:fill="EEF3FA"/>
          </w:tcPr>
          <w:p>
            <w:pPr>
              <w:spacing w:before="32" w:after="32" w:line="240" w:lineRule="auto"/>
              <w:jc w:val="right"/>
            </w:pPr>
            <w:r>
              <w:rPr>
                <w:b w:val="0"/>
                <w:color w:val="0B0B0B"/>
                <w:sz w:val="15"/>
              </w:rPr>
              <w:t>25.0%</w:t>
            </w:r>
          </w:p>
        </w:tc>
        <w:tc>
          <w:tcPr>
            <w:tcW w:type="dxa" w:w="945"/>
            <w:shd w:val="clear" w:color="auto" w:fill="EEF3FA"/>
          </w:tcPr>
          <w:p>
            <w:pPr>
              <w:spacing w:before="32" w:after="32" w:line="240" w:lineRule="auto"/>
              <w:jc w:val="right"/>
            </w:pPr>
            <w:r>
              <w:rPr>
                <w:b w:val="0"/>
                <w:color w:val="0B0B0B"/>
                <w:sz w:val="15"/>
              </w:rPr>
              <w:t>25.0%</w:t>
            </w:r>
          </w:p>
        </w:tc>
      </w:tr>
      <w:tr>
        <w:tc>
          <w:tcPr>
            <w:tcW w:type="dxa" w:w="1702"/>
          </w:tcPr>
          <w:p>
            <w:pPr>
              <w:spacing w:before="32" w:after="32" w:line="240" w:lineRule="auto"/>
              <w:jc w:val="left"/>
            </w:pPr>
            <w:r>
              <w:rPr>
                <w:b w:val="0"/>
                <w:color w:val="0B0B0B"/>
                <w:sz w:val="15"/>
              </w:rPr>
              <w:t>Minority interest</w:t>
            </w:r>
          </w:p>
        </w:tc>
        <w:tc>
          <w:tcPr>
            <w:tcW w:type="dxa" w:w="945"/>
          </w:tcPr>
          <w:p>
            <w:pPr>
              <w:spacing w:before="32" w:after="32" w:line="240" w:lineRule="auto"/>
              <w:jc w:val="right"/>
            </w:pPr>
            <w:r>
              <w:rPr>
                <w:b w:val="0"/>
                <w:color w:val="0B0B0B"/>
                <w:sz w:val="15"/>
              </w:rPr>
              <w:t>15</w:t>
            </w:r>
          </w:p>
        </w:tc>
        <w:tc>
          <w:tcPr>
            <w:tcW w:type="dxa" w:w="945"/>
          </w:tcPr>
          <w:p>
            <w:pPr>
              <w:spacing w:before="32" w:after="32" w:line="240" w:lineRule="auto"/>
              <w:jc w:val="right"/>
            </w:pPr>
            <w:r>
              <w:rPr>
                <w:b w:val="0"/>
                <w:color w:val="0B0B0B"/>
                <w:sz w:val="15"/>
              </w:rPr>
              <w:t>2</w:t>
            </w:r>
          </w:p>
        </w:tc>
        <w:tc>
          <w:tcPr>
            <w:tcW w:type="dxa" w:w="945"/>
          </w:tcPr>
          <w:p>
            <w:pPr>
              <w:spacing w:before="32" w:after="32" w:line="240" w:lineRule="auto"/>
              <w:jc w:val="right"/>
            </w:pPr>
            <w:r>
              <w:rPr>
                <w:b w:val="0"/>
                <w:color w:val="0B0B0B"/>
                <w:sz w:val="15"/>
              </w:rPr>
              <w:t>2</w:t>
            </w:r>
          </w:p>
        </w:tc>
        <w:tc>
          <w:tcPr>
            <w:tcW w:type="dxa" w:w="945"/>
          </w:tcPr>
          <w:p>
            <w:pPr>
              <w:spacing w:before="32" w:after="32" w:line="240" w:lineRule="auto"/>
              <w:jc w:val="right"/>
            </w:pPr>
            <w:r>
              <w:rPr>
                <w:b w:val="0"/>
                <w:color w:val="0B0B0B"/>
                <w:sz w:val="15"/>
              </w:rPr>
              <w:t>32</w:t>
            </w:r>
          </w:p>
        </w:tc>
        <w:tc>
          <w:tcPr>
            <w:tcW w:type="dxa" w:w="945"/>
          </w:tcPr>
          <w:p>
            <w:pPr>
              <w:spacing w:before="32" w:after="32" w:line="240" w:lineRule="auto"/>
              <w:jc w:val="right"/>
            </w:pPr>
            <w:r>
              <w:rPr>
                <w:b w:val="0"/>
                <w:color w:val="0B0B0B"/>
                <w:sz w:val="15"/>
              </w:rPr>
              <w:t>523</w:t>
            </w:r>
          </w:p>
        </w:tc>
        <w:tc>
          <w:tcPr>
            <w:tcW w:type="dxa" w:w="945"/>
          </w:tcPr>
          <w:p>
            <w:pPr>
              <w:spacing w:before="32" w:after="32" w:line="240" w:lineRule="auto"/>
              <w:jc w:val="right"/>
            </w:pPr>
            <w:r>
              <w:rPr>
                <w:b w:val="0"/>
                <w:color w:val="0B0B0B"/>
                <w:sz w:val="15"/>
              </w:rPr>
              <w:t>232</w:t>
            </w:r>
          </w:p>
        </w:tc>
        <w:tc>
          <w:tcPr>
            <w:tcW w:type="dxa" w:w="945"/>
          </w:tcPr>
          <w:p>
            <w:pPr>
              <w:spacing w:before="32" w:after="32" w:line="240" w:lineRule="auto"/>
              <w:jc w:val="right"/>
            </w:pPr>
            <w:r>
              <w:rPr>
                <w:b w:val="0"/>
                <w:color w:val="0B0B0B"/>
                <w:sz w:val="15"/>
              </w:rPr>
              <w:t>24</w:t>
            </w:r>
          </w:p>
        </w:tc>
        <w:tc>
          <w:tcPr>
            <w:tcW w:type="dxa" w:w="945"/>
          </w:tcPr>
          <w:p>
            <w:pPr>
              <w:spacing w:before="32" w:after="32" w:line="240" w:lineRule="auto"/>
              <w:jc w:val="right"/>
            </w:pPr>
            <w:r>
              <w:rPr>
                <w:b w:val="0"/>
                <w:color w:val="0B0B0B"/>
                <w:sz w:val="15"/>
              </w:rPr>
              <w:t>23</w:t>
            </w:r>
          </w:p>
        </w:tc>
        <w:tc>
          <w:tcPr>
            <w:tcW w:type="dxa" w:w="945"/>
          </w:tcPr>
          <w:p>
            <w:pPr>
              <w:spacing w:before="32" w:after="32" w:line="240" w:lineRule="auto"/>
              <w:jc w:val="right"/>
            </w:pPr>
            <w:r>
              <w:rPr>
                <w:b w:val="0"/>
                <w:color w:val="0B0B0B"/>
                <w:sz w:val="15"/>
              </w:rPr>
              <w:t>23</w:t>
            </w:r>
          </w:p>
        </w:tc>
      </w:tr>
      <w:tr>
        <w:tc>
          <w:tcPr>
            <w:tcW w:type="dxa" w:w="1702"/>
            <w:shd w:val="clear" w:color="auto" w:fill="EEF3FA"/>
          </w:tcPr>
          <w:p>
            <w:pPr>
              <w:spacing w:before="32" w:after="32" w:line="240" w:lineRule="auto"/>
              <w:jc w:val="left"/>
            </w:pPr>
            <w:r>
              <w:rPr>
                <w:b/>
                <w:color w:val="0B0B0B"/>
                <w:sz w:val="15"/>
              </w:rPr>
              <w:t>PAT after minority</w:t>
            </w:r>
          </w:p>
        </w:tc>
        <w:tc>
          <w:tcPr>
            <w:tcW w:type="dxa" w:w="945"/>
            <w:shd w:val="clear" w:color="auto" w:fill="EEF3FA"/>
          </w:tcPr>
          <w:p>
            <w:pPr>
              <w:spacing w:before="32" w:after="32" w:line="240" w:lineRule="auto"/>
              <w:jc w:val="right"/>
            </w:pPr>
            <w:r>
              <w:rPr>
                <w:b/>
                <w:color w:val="0B0B0B"/>
                <w:sz w:val="15"/>
              </w:rPr>
              <w:t>1,729</w:t>
            </w:r>
          </w:p>
        </w:tc>
        <w:tc>
          <w:tcPr>
            <w:tcW w:type="dxa" w:w="945"/>
            <w:shd w:val="clear" w:color="auto" w:fill="EEF3FA"/>
          </w:tcPr>
          <w:p>
            <w:pPr>
              <w:spacing w:before="32" w:after="32" w:line="240" w:lineRule="auto"/>
              <w:jc w:val="right"/>
            </w:pPr>
            <w:r>
              <w:rPr>
                <w:b/>
                <w:color w:val="0B0B0B"/>
                <w:sz w:val="15"/>
              </w:rPr>
              <w:t>1,478</w:t>
            </w:r>
          </w:p>
        </w:tc>
        <w:tc>
          <w:tcPr>
            <w:tcW w:type="dxa" w:w="945"/>
            <w:shd w:val="clear" w:color="auto" w:fill="EEF3FA"/>
          </w:tcPr>
          <w:p>
            <w:pPr>
              <w:spacing w:before="32" w:after="32" w:line="240" w:lineRule="auto"/>
              <w:jc w:val="right"/>
            </w:pPr>
            <w:r>
              <w:rPr>
                <w:b/>
                <w:color w:val="0B0B0B"/>
                <w:sz w:val="15"/>
              </w:rPr>
              <w:t>1,723</w:t>
            </w:r>
          </w:p>
        </w:tc>
        <w:tc>
          <w:tcPr>
            <w:tcW w:type="dxa" w:w="945"/>
            <w:shd w:val="clear" w:color="auto" w:fill="EEF3FA"/>
          </w:tcPr>
          <w:p>
            <w:pPr>
              <w:spacing w:before="32" w:after="32" w:line="240" w:lineRule="auto"/>
              <w:jc w:val="right"/>
            </w:pPr>
            <w:r>
              <w:rPr>
                <w:b/>
                <w:color w:val="0B0B0B"/>
                <w:sz w:val="15"/>
              </w:rPr>
              <w:t>1,951</w:t>
            </w:r>
          </w:p>
        </w:tc>
        <w:tc>
          <w:tcPr>
            <w:tcW w:type="dxa" w:w="945"/>
            <w:shd w:val="clear" w:color="auto" w:fill="EEF3FA"/>
          </w:tcPr>
          <w:p>
            <w:pPr>
              <w:spacing w:before="32" w:after="32" w:line="240" w:lineRule="auto"/>
              <w:jc w:val="right"/>
            </w:pPr>
            <w:r>
              <w:rPr>
                <w:b/>
                <w:color w:val="0B0B0B"/>
                <w:sz w:val="15"/>
              </w:rPr>
              <w:t>2,239</w:t>
            </w:r>
          </w:p>
        </w:tc>
        <w:tc>
          <w:tcPr>
            <w:tcW w:type="dxa" w:w="945"/>
            <w:shd w:val="clear" w:color="auto" w:fill="EEF3FA"/>
          </w:tcPr>
          <w:p>
            <w:pPr>
              <w:spacing w:before="32" w:after="32" w:line="240" w:lineRule="auto"/>
              <w:jc w:val="right"/>
            </w:pPr>
            <w:r>
              <w:rPr>
                <w:b/>
                <w:color w:val="0B0B0B"/>
                <w:sz w:val="15"/>
              </w:rPr>
              <w:t>2,823</w:t>
            </w:r>
          </w:p>
        </w:tc>
        <w:tc>
          <w:tcPr>
            <w:tcW w:type="dxa" w:w="945"/>
            <w:shd w:val="clear" w:color="auto" w:fill="EEF3FA"/>
          </w:tcPr>
          <w:p>
            <w:pPr>
              <w:spacing w:before="32" w:after="32" w:line="240" w:lineRule="auto"/>
              <w:jc w:val="right"/>
            </w:pPr>
            <w:r>
              <w:rPr>
                <w:b/>
                <w:color w:val="0B0B0B"/>
                <w:sz w:val="15"/>
              </w:rPr>
              <w:t>3,626</w:t>
            </w:r>
          </w:p>
        </w:tc>
        <w:tc>
          <w:tcPr>
            <w:tcW w:type="dxa" w:w="945"/>
            <w:shd w:val="clear" w:color="auto" w:fill="EEF3FA"/>
          </w:tcPr>
          <w:p>
            <w:pPr>
              <w:spacing w:before="32" w:after="32" w:line="240" w:lineRule="auto"/>
              <w:jc w:val="right"/>
            </w:pPr>
            <w:r>
              <w:rPr>
                <w:b/>
                <w:color w:val="0B0B0B"/>
                <w:sz w:val="15"/>
              </w:rPr>
              <w:t>4,704</w:t>
            </w:r>
          </w:p>
        </w:tc>
        <w:tc>
          <w:tcPr>
            <w:tcW w:type="dxa" w:w="945"/>
            <w:shd w:val="clear" w:color="auto" w:fill="EEF3FA"/>
          </w:tcPr>
          <w:p>
            <w:pPr>
              <w:spacing w:before="32" w:after="32" w:line="240" w:lineRule="auto"/>
              <w:jc w:val="right"/>
            </w:pPr>
            <w:r>
              <w:rPr>
                <w:b/>
                <w:color w:val="0B0B0B"/>
                <w:sz w:val="15"/>
              </w:rPr>
              <w:t>5,791</w:t>
            </w:r>
          </w:p>
        </w:tc>
      </w:tr>
      <w:tr>
        <w:tc>
          <w:tcPr>
            <w:tcW w:type="dxa" w:w="1702"/>
          </w:tcPr>
          <w:p>
            <w:pPr>
              <w:spacing w:before="32" w:after="32" w:line="240" w:lineRule="auto"/>
              <w:jc w:val="left"/>
            </w:pPr>
            <w:r>
              <w:rPr>
                <w:b w:val="0"/>
                <w:color w:val="0B0B0B"/>
                <w:sz w:val="15"/>
              </w:rPr>
              <w:t xml:space="preserve">  PAT margin</w:t>
            </w:r>
          </w:p>
        </w:tc>
        <w:tc>
          <w:tcPr>
            <w:tcW w:type="dxa" w:w="945"/>
          </w:tcPr>
          <w:p>
            <w:pPr>
              <w:spacing w:before="32" w:after="32" w:line="240" w:lineRule="auto"/>
              <w:jc w:val="right"/>
            </w:pPr>
            <w:r>
              <w:rPr>
                <w:b w:val="0"/>
                <w:color w:val="0B0B0B"/>
                <w:sz w:val="15"/>
              </w:rPr>
              <w:t>21.2%</w:t>
            </w:r>
          </w:p>
        </w:tc>
        <w:tc>
          <w:tcPr>
            <w:tcW w:type="dxa" w:w="945"/>
          </w:tcPr>
          <w:p>
            <w:pPr>
              <w:spacing w:before="32" w:after="32" w:line="240" w:lineRule="auto"/>
              <w:jc w:val="right"/>
            </w:pPr>
            <w:r>
              <w:rPr>
                <w:b w:val="0"/>
                <w:color w:val="0B0B0B"/>
                <w:sz w:val="15"/>
              </w:rPr>
              <w:t>14.3%</w:t>
            </w:r>
          </w:p>
        </w:tc>
        <w:tc>
          <w:tcPr>
            <w:tcW w:type="dxa" w:w="945"/>
          </w:tcPr>
          <w:p>
            <w:pPr>
              <w:spacing w:before="32" w:after="32" w:line="240" w:lineRule="auto"/>
              <w:jc w:val="right"/>
            </w:pPr>
            <w:r>
              <w:rPr>
                <w:b w:val="0"/>
                <w:color w:val="0B0B0B"/>
                <w:sz w:val="15"/>
              </w:rPr>
              <w:t>15.0%</w:t>
            </w:r>
          </w:p>
        </w:tc>
        <w:tc>
          <w:tcPr>
            <w:tcW w:type="dxa" w:w="945"/>
          </w:tcPr>
          <w:p>
            <w:pPr>
              <w:spacing w:before="32" w:after="32" w:line="240" w:lineRule="auto"/>
              <w:jc w:val="right"/>
            </w:pPr>
            <w:r>
              <w:rPr>
                <w:b w:val="0"/>
                <w:color w:val="0B0B0B"/>
                <w:sz w:val="15"/>
              </w:rPr>
              <w:t>16.6%</w:t>
            </w:r>
          </w:p>
        </w:tc>
        <w:tc>
          <w:tcPr>
            <w:tcW w:type="dxa" w:w="945"/>
          </w:tcPr>
          <w:p>
            <w:pPr>
              <w:spacing w:before="32" w:after="32" w:line="240" w:lineRule="auto"/>
              <w:jc w:val="right"/>
            </w:pPr>
            <w:r>
              <w:rPr>
                <w:b w:val="0"/>
                <w:color w:val="0B0B0B"/>
                <w:sz w:val="15"/>
              </w:rPr>
              <w:t>11.8%</w:t>
            </w:r>
          </w:p>
        </w:tc>
        <w:tc>
          <w:tcPr>
            <w:tcW w:type="dxa" w:w="945"/>
          </w:tcPr>
          <w:p>
            <w:pPr>
              <w:spacing w:before="32" w:after="32" w:line="240" w:lineRule="auto"/>
              <w:jc w:val="right"/>
            </w:pPr>
            <w:r>
              <w:rPr>
                <w:b w:val="0"/>
                <w:color w:val="0B0B0B"/>
                <w:sz w:val="15"/>
              </w:rPr>
              <w:t>10.6%</w:t>
            </w:r>
          </w:p>
        </w:tc>
        <w:tc>
          <w:tcPr>
            <w:tcW w:type="dxa" w:w="945"/>
          </w:tcPr>
          <w:p>
            <w:pPr>
              <w:spacing w:before="32" w:after="32" w:line="240" w:lineRule="auto"/>
              <w:jc w:val="right"/>
            </w:pPr>
            <w:r>
              <w:rPr>
                <w:b w:val="0"/>
                <w:color w:val="0B0B0B"/>
                <w:sz w:val="15"/>
              </w:rPr>
              <w:t>11.9%</w:t>
            </w:r>
          </w:p>
        </w:tc>
        <w:tc>
          <w:tcPr>
            <w:tcW w:type="dxa" w:w="945"/>
          </w:tcPr>
          <w:p>
            <w:pPr>
              <w:spacing w:before="32" w:after="32" w:line="240" w:lineRule="auto"/>
              <w:jc w:val="right"/>
            </w:pPr>
            <w:r>
              <w:rPr>
                <w:b w:val="0"/>
                <w:color w:val="0B0B0B"/>
                <w:sz w:val="15"/>
              </w:rPr>
              <w:t>13.2%</w:t>
            </w:r>
          </w:p>
        </w:tc>
        <w:tc>
          <w:tcPr>
            <w:tcW w:type="dxa" w:w="945"/>
          </w:tcPr>
          <w:p>
            <w:pPr>
              <w:spacing w:before="32" w:after="32" w:line="240" w:lineRule="auto"/>
              <w:jc w:val="right"/>
            </w:pPr>
            <w:r>
              <w:rPr>
                <w:b w:val="0"/>
                <w:color w:val="0B0B0B"/>
                <w:sz w:val="15"/>
              </w:rPr>
              <w:t>14.7%</w:t>
            </w:r>
          </w:p>
        </w:tc>
      </w:tr>
      <w:tr>
        <w:tc>
          <w:tcPr>
            <w:tcW w:type="dxa" w:w="1702"/>
            <w:shd w:val="clear" w:color="auto" w:fill="EEF3FA"/>
          </w:tcPr>
          <w:p>
            <w:pPr>
              <w:spacing w:before="32" w:after="32" w:line="240" w:lineRule="auto"/>
              <w:jc w:val="left"/>
            </w:pPr>
            <w:r>
              <w:rPr>
                <w:b w:val="0"/>
                <w:color w:val="0B0B0B"/>
                <w:sz w:val="15"/>
              </w:rPr>
              <w:t>Adjusted PAT</w:t>
            </w:r>
          </w:p>
        </w:tc>
        <w:tc>
          <w:tcPr>
            <w:tcW w:type="dxa" w:w="945"/>
            <w:shd w:val="clear" w:color="auto" w:fill="EEF3FA"/>
          </w:tcPr>
          <w:p>
            <w:pPr>
              <w:spacing w:before="32" w:after="32" w:line="240" w:lineRule="auto"/>
              <w:jc w:val="right"/>
            </w:pPr>
            <w:r>
              <w:rPr>
                <w:b w:val="0"/>
                <w:color w:val="0B0B0B"/>
                <w:sz w:val="15"/>
              </w:rPr>
              <w:t>1,729</w:t>
            </w:r>
          </w:p>
        </w:tc>
        <w:tc>
          <w:tcPr>
            <w:tcW w:type="dxa" w:w="945"/>
            <w:shd w:val="clear" w:color="auto" w:fill="EEF3FA"/>
          </w:tcPr>
          <w:p>
            <w:pPr>
              <w:spacing w:before="32" w:after="32" w:line="240" w:lineRule="auto"/>
              <w:jc w:val="right"/>
            </w:pPr>
            <w:r>
              <w:rPr>
                <w:b w:val="0"/>
                <w:color w:val="0B0B0B"/>
                <w:sz w:val="15"/>
              </w:rPr>
              <w:t>1,358</w:t>
            </w:r>
          </w:p>
        </w:tc>
        <w:tc>
          <w:tcPr>
            <w:tcW w:type="dxa" w:w="945"/>
            <w:shd w:val="clear" w:color="auto" w:fill="EEF3FA"/>
          </w:tcPr>
          <w:p>
            <w:pPr>
              <w:spacing w:before="32" w:after="32" w:line="240" w:lineRule="auto"/>
              <w:jc w:val="right"/>
            </w:pPr>
            <w:r>
              <w:rPr>
                <w:b w:val="0"/>
                <w:color w:val="0B0B0B"/>
                <w:sz w:val="15"/>
              </w:rPr>
              <w:t>1,723</w:t>
            </w:r>
          </w:p>
        </w:tc>
        <w:tc>
          <w:tcPr>
            <w:tcW w:type="dxa" w:w="945"/>
            <w:shd w:val="clear" w:color="auto" w:fill="EEF3FA"/>
          </w:tcPr>
          <w:p>
            <w:pPr>
              <w:spacing w:before="32" w:after="32" w:line="240" w:lineRule="auto"/>
              <w:jc w:val="right"/>
            </w:pPr>
            <w:r>
              <w:rPr>
                <w:b w:val="0"/>
                <w:color w:val="0B0B0B"/>
                <w:sz w:val="15"/>
              </w:rPr>
              <w:t>1,951</w:t>
            </w:r>
          </w:p>
        </w:tc>
        <w:tc>
          <w:tcPr>
            <w:tcW w:type="dxa" w:w="945"/>
            <w:shd w:val="clear" w:color="auto" w:fill="EEF3FA"/>
          </w:tcPr>
          <w:p>
            <w:pPr>
              <w:spacing w:before="32" w:after="32" w:line="240" w:lineRule="auto"/>
              <w:jc w:val="right"/>
            </w:pPr>
            <w:r>
              <w:rPr>
                <w:b w:val="0"/>
                <w:color w:val="0B0B0B"/>
                <w:sz w:val="15"/>
              </w:rPr>
              <w:t>2,304</w:t>
            </w:r>
          </w:p>
        </w:tc>
        <w:tc>
          <w:tcPr>
            <w:tcW w:type="dxa" w:w="945"/>
            <w:shd w:val="clear" w:color="auto" w:fill="EEF3FA"/>
          </w:tcPr>
          <w:p>
            <w:pPr>
              <w:spacing w:before="32" w:after="32" w:line="240" w:lineRule="auto"/>
              <w:jc w:val="right"/>
            </w:pPr>
            <w:r>
              <w:rPr>
                <w:b w:val="0"/>
                <w:color w:val="0B0B0B"/>
                <w:sz w:val="15"/>
              </w:rPr>
              <w:t>2,823</w:t>
            </w:r>
          </w:p>
        </w:tc>
        <w:tc>
          <w:tcPr>
            <w:tcW w:type="dxa" w:w="945"/>
            <w:shd w:val="clear" w:color="auto" w:fill="EEF3FA"/>
          </w:tcPr>
          <w:p>
            <w:pPr>
              <w:spacing w:before="32" w:after="32" w:line="240" w:lineRule="auto"/>
              <w:jc w:val="right"/>
            </w:pPr>
            <w:r>
              <w:rPr>
                <w:b w:val="0"/>
                <w:color w:val="0B0B0B"/>
                <w:sz w:val="15"/>
              </w:rPr>
              <w:t>3,626</w:t>
            </w:r>
          </w:p>
        </w:tc>
        <w:tc>
          <w:tcPr>
            <w:tcW w:type="dxa" w:w="945"/>
            <w:shd w:val="clear" w:color="auto" w:fill="EEF3FA"/>
          </w:tcPr>
          <w:p>
            <w:pPr>
              <w:spacing w:before="32" w:after="32" w:line="240" w:lineRule="auto"/>
              <w:jc w:val="right"/>
            </w:pPr>
            <w:r>
              <w:rPr>
                <w:b w:val="0"/>
                <w:color w:val="0B0B0B"/>
                <w:sz w:val="15"/>
              </w:rPr>
              <w:t>4,704</w:t>
            </w:r>
          </w:p>
        </w:tc>
        <w:tc>
          <w:tcPr>
            <w:tcW w:type="dxa" w:w="945"/>
            <w:shd w:val="clear" w:color="auto" w:fill="EEF3FA"/>
          </w:tcPr>
          <w:p>
            <w:pPr>
              <w:spacing w:before="32" w:after="32" w:line="240" w:lineRule="auto"/>
              <w:jc w:val="right"/>
            </w:pPr>
            <w:r>
              <w:rPr>
                <w:b w:val="0"/>
                <w:color w:val="0B0B0B"/>
                <w:sz w:val="15"/>
              </w:rPr>
              <w:t>5,791</w:t>
            </w:r>
          </w:p>
        </w:tc>
      </w:tr>
      <w:tr>
        <w:tc>
          <w:tcPr>
            <w:tcW w:type="dxa" w:w="1702"/>
          </w:tcPr>
          <w:p>
            <w:pPr>
              <w:spacing w:before="32" w:after="32" w:line="240" w:lineRule="auto"/>
              <w:jc w:val="left"/>
            </w:pPr>
            <w:r>
              <w:rPr>
                <w:b w:val="0"/>
                <w:color w:val="0B0B0B"/>
                <w:sz w:val="15"/>
              </w:rPr>
              <w:t>EPS (Rs.)</w:t>
            </w:r>
          </w:p>
        </w:tc>
        <w:tc>
          <w:tcPr>
            <w:tcW w:type="dxa" w:w="945"/>
          </w:tcPr>
          <w:p>
            <w:pPr>
              <w:spacing w:before="32" w:after="32" w:line="240" w:lineRule="auto"/>
              <w:jc w:val="right"/>
            </w:pPr>
            <w:r>
              <w:rPr>
                <w:b w:val="0"/>
                <w:color w:val="0B0B0B"/>
                <w:sz w:val="15"/>
              </w:rPr>
              <w:t>10.51</w:t>
            </w:r>
          </w:p>
        </w:tc>
        <w:tc>
          <w:tcPr>
            <w:tcW w:type="dxa" w:w="945"/>
          </w:tcPr>
          <w:p>
            <w:pPr>
              <w:spacing w:before="32" w:after="32" w:line="240" w:lineRule="auto"/>
              <w:jc w:val="right"/>
            </w:pPr>
            <w:r>
              <w:rPr>
                <w:b w:val="0"/>
                <w:color w:val="0B0B0B"/>
                <w:sz w:val="15"/>
              </w:rPr>
              <w:t>8.99</w:t>
            </w:r>
          </w:p>
        </w:tc>
        <w:tc>
          <w:tcPr>
            <w:tcW w:type="dxa" w:w="945"/>
          </w:tcPr>
          <w:p>
            <w:pPr>
              <w:spacing w:before="32" w:after="32" w:line="240" w:lineRule="auto"/>
              <w:jc w:val="right"/>
            </w:pPr>
            <w:r>
              <w:rPr>
                <w:b w:val="0"/>
                <w:color w:val="0B0B0B"/>
                <w:sz w:val="15"/>
              </w:rPr>
              <w:t>10.47</w:t>
            </w:r>
          </w:p>
        </w:tc>
        <w:tc>
          <w:tcPr>
            <w:tcW w:type="dxa" w:w="945"/>
          </w:tcPr>
          <w:p>
            <w:pPr>
              <w:spacing w:before="32" w:after="32" w:line="240" w:lineRule="auto"/>
              <w:jc w:val="right"/>
            </w:pPr>
            <w:r>
              <w:rPr>
                <w:b w:val="0"/>
                <w:color w:val="0B0B0B"/>
                <w:sz w:val="15"/>
              </w:rPr>
              <w:t>11.16</w:t>
            </w:r>
          </w:p>
        </w:tc>
        <w:tc>
          <w:tcPr>
            <w:tcW w:type="dxa" w:w="945"/>
          </w:tcPr>
          <w:p>
            <w:pPr>
              <w:spacing w:before="32" w:after="32" w:line="240" w:lineRule="auto"/>
              <w:jc w:val="right"/>
            </w:pPr>
            <w:r>
              <w:rPr>
                <w:b w:val="0"/>
                <w:color w:val="0B0B0B"/>
                <w:sz w:val="15"/>
              </w:rPr>
              <w:t>12.74</w:t>
            </w:r>
          </w:p>
        </w:tc>
        <w:tc>
          <w:tcPr>
            <w:tcW w:type="dxa" w:w="945"/>
          </w:tcPr>
          <w:p>
            <w:pPr>
              <w:spacing w:before="32" w:after="32" w:line="240" w:lineRule="auto"/>
              <w:jc w:val="right"/>
            </w:pPr>
            <w:r>
              <w:rPr>
                <w:b w:val="0"/>
                <w:color w:val="0B0B0B"/>
                <w:sz w:val="15"/>
              </w:rPr>
              <w:t>15.40</w:t>
            </w:r>
          </w:p>
        </w:tc>
        <w:tc>
          <w:tcPr>
            <w:tcW w:type="dxa" w:w="945"/>
          </w:tcPr>
          <w:p>
            <w:pPr>
              <w:spacing w:before="32" w:after="32" w:line="240" w:lineRule="auto"/>
              <w:jc w:val="right"/>
            </w:pPr>
            <w:r>
              <w:rPr>
                <w:b w:val="0"/>
                <w:color w:val="0B0B0B"/>
                <w:sz w:val="15"/>
              </w:rPr>
              <w:t>19.28</w:t>
            </w:r>
          </w:p>
        </w:tc>
        <w:tc>
          <w:tcPr>
            <w:tcW w:type="dxa" w:w="945"/>
          </w:tcPr>
          <w:p>
            <w:pPr>
              <w:spacing w:before="32" w:after="32" w:line="240" w:lineRule="auto"/>
              <w:jc w:val="right"/>
            </w:pPr>
            <w:r>
              <w:rPr>
                <w:b w:val="0"/>
                <w:color w:val="0B0B0B"/>
                <w:sz w:val="15"/>
              </w:rPr>
              <w:t>25.01</w:t>
            </w:r>
          </w:p>
        </w:tc>
        <w:tc>
          <w:tcPr>
            <w:tcW w:type="dxa" w:w="945"/>
          </w:tcPr>
          <w:p>
            <w:pPr>
              <w:spacing w:before="32" w:after="32" w:line="240" w:lineRule="auto"/>
              <w:jc w:val="right"/>
            </w:pPr>
            <w:r>
              <w:rPr>
                <w:b w:val="0"/>
                <w:color w:val="0B0B0B"/>
                <w:sz w:val="15"/>
              </w:rPr>
              <w:t>30.78</w:t>
            </w:r>
          </w:p>
        </w:tc>
      </w:tr>
      <w:tr>
        <w:tc>
          <w:tcPr>
            <w:tcW w:type="dxa" w:w="1702"/>
            <w:shd w:val="clear" w:color="auto" w:fill="EEF3FA"/>
          </w:tcPr>
          <w:p>
            <w:pPr>
              <w:spacing w:before="32" w:after="32" w:line="240" w:lineRule="auto"/>
              <w:jc w:val="left"/>
            </w:pPr>
            <w:r>
              <w:rPr>
                <w:b w:val="0"/>
                <w:color w:val="0B0B0B"/>
                <w:sz w:val="15"/>
              </w:rPr>
              <w:t>DPS (Rs.)</w:t>
            </w:r>
          </w:p>
        </w:tc>
        <w:tc>
          <w:tcPr>
            <w:tcW w:type="dxa" w:w="945"/>
            <w:shd w:val="clear" w:color="auto" w:fill="EEF3FA"/>
          </w:tcPr>
          <w:p>
            <w:pPr>
              <w:spacing w:before="32" w:after="32" w:line="240" w:lineRule="auto"/>
              <w:jc w:val="right"/>
            </w:pPr>
            <w:r>
              <w:rPr>
                <w:b w:val="0"/>
                <w:color w:val="0B0B0B"/>
                <w:sz w:val="15"/>
              </w:rPr>
              <w:t>2.0</w:t>
            </w:r>
          </w:p>
        </w:tc>
        <w:tc>
          <w:tcPr>
            <w:tcW w:type="dxa" w:w="945"/>
            <w:shd w:val="clear" w:color="auto" w:fill="EEF3FA"/>
          </w:tcPr>
          <w:p>
            <w:pPr>
              <w:spacing w:before="32" w:after="32" w:line="240" w:lineRule="auto"/>
              <w:jc w:val="right"/>
            </w:pPr>
            <w:r>
              <w:rPr>
                <w:b w:val="0"/>
                <w:color w:val="0B0B0B"/>
                <w:sz w:val="15"/>
              </w:rPr>
              <w:t>2.0</w:t>
            </w:r>
          </w:p>
        </w:tc>
        <w:tc>
          <w:tcPr>
            <w:tcW w:type="dxa" w:w="945"/>
            <w:shd w:val="clear" w:color="auto" w:fill="EEF3FA"/>
          </w:tcPr>
          <w:p>
            <w:pPr>
              <w:spacing w:before="32" w:after="32" w:line="240" w:lineRule="auto"/>
              <w:jc w:val="right"/>
            </w:pPr>
            <w:r>
              <w:rPr>
                <w:b w:val="0"/>
                <w:color w:val="0B0B0B"/>
                <w:sz w:val="15"/>
              </w:rPr>
              <w:t>2.0</w:t>
            </w:r>
          </w:p>
        </w:tc>
        <w:tc>
          <w:tcPr>
            <w:tcW w:type="dxa" w:w="945"/>
            <w:shd w:val="clear" w:color="auto" w:fill="EEF3FA"/>
          </w:tcPr>
          <w:p>
            <w:pPr>
              <w:spacing w:before="32" w:after="32" w:line="240" w:lineRule="auto"/>
              <w:jc w:val="right"/>
            </w:pPr>
            <w:r>
              <w:rPr>
                <w:b w:val="0"/>
                <w:color w:val="0B0B0B"/>
                <w:sz w:val="15"/>
              </w:rPr>
              <w:t>2.0</w:t>
            </w:r>
          </w:p>
        </w:tc>
        <w:tc>
          <w:tcPr>
            <w:tcW w:type="dxa" w:w="945"/>
            <w:shd w:val="clear" w:color="auto" w:fill="EEF3FA"/>
          </w:tcPr>
          <w:p>
            <w:pPr>
              <w:spacing w:before="32" w:after="32" w:line="240" w:lineRule="auto"/>
              <w:jc w:val="right"/>
            </w:pPr>
            <w:r>
              <w:rPr>
                <w:b w:val="0"/>
                <w:color w:val="0B0B0B"/>
                <w:sz w:val="15"/>
              </w:rPr>
              <w:t>2.0</w:t>
            </w:r>
          </w:p>
        </w:tc>
        <w:tc>
          <w:tcPr>
            <w:tcW w:type="dxa" w:w="945"/>
            <w:shd w:val="clear" w:color="auto" w:fill="EEF3FA"/>
          </w:tcPr>
          <w:p>
            <w:pPr>
              <w:spacing w:before="32" w:after="32" w:line="240" w:lineRule="auto"/>
              <w:jc w:val="right"/>
            </w:pPr>
            <w:r>
              <w:rPr>
                <w:b w:val="0"/>
                <w:color w:val="0B0B0B"/>
                <w:sz w:val="15"/>
              </w:rPr>
              <w:t>2.2</w:t>
            </w:r>
          </w:p>
        </w:tc>
        <w:tc>
          <w:tcPr>
            <w:tcW w:type="dxa" w:w="945"/>
            <w:shd w:val="clear" w:color="auto" w:fill="EEF3FA"/>
          </w:tcPr>
          <w:p>
            <w:pPr>
              <w:spacing w:before="32" w:after="32" w:line="240" w:lineRule="auto"/>
              <w:jc w:val="right"/>
            </w:pPr>
            <w:r>
              <w:rPr>
                <w:b w:val="0"/>
                <w:color w:val="0B0B0B"/>
                <w:sz w:val="15"/>
              </w:rPr>
              <w:t>2.4</w:t>
            </w:r>
          </w:p>
        </w:tc>
        <w:tc>
          <w:tcPr>
            <w:tcW w:type="dxa" w:w="945"/>
            <w:shd w:val="clear" w:color="auto" w:fill="EEF3FA"/>
          </w:tcPr>
          <w:p>
            <w:pPr>
              <w:spacing w:before="32" w:after="32" w:line="240" w:lineRule="auto"/>
              <w:jc w:val="right"/>
            </w:pPr>
            <w:r>
              <w:rPr>
                <w:b w:val="0"/>
                <w:color w:val="0B0B0B"/>
                <w:sz w:val="15"/>
              </w:rPr>
              <w:t>2.4</w:t>
            </w:r>
          </w:p>
        </w:tc>
        <w:tc>
          <w:tcPr>
            <w:tcW w:type="dxa" w:w="945"/>
            <w:shd w:val="clear" w:color="auto" w:fill="EEF3FA"/>
          </w:tcPr>
          <w:p>
            <w:pPr>
              <w:spacing w:before="32" w:after="32" w:line="240" w:lineRule="auto"/>
              <w:jc w:val="right"/>
            </w:pPr>
            <w:r>
              <w:rPr>
                <w:b w:val="0"/>
                <w:color w:val="0B0B0B"/>
                <w:sz w:val="15"/>
              </w:rPr>
              <w:t>2.4</w:t>
            </w:r>
          </w:p>
        </w:tc>
      </w:tr>
    </w:tbl>
    <w:p>
      <w:pPr>
        <w:spacing w:before="40" w:after="120"/>
      </w:pPr>
      <w:r>
        <w:rPr>
          <w:b w:val="0"/>
          <w:i/>
          <w:color w:val="8A8880"/>
          <w:sz w:val="14"/>
        </w:rPr>
        <w:t>Source: JSW Energy reported consolidated accounts for FY22A–FY26A; FY27E–FY30E are the attached analyst model's estimates, used exactly as given. EPS is on reported PAT after minority; adjusted EPS was Rs.8.26 in FY23A (Rs.120cr exceptional gain) and Rs.13.11 in FY26A (Rs.65cr exceptional loss). FY26A's effective tax rate is negative — see Section 22.</w:t>
      </w:r>
    </w:p>
    <w:p>
      <w:pPr>
        <w:keepNext/>
        <w:spacing w:before="180" w:after="40"/>
      </w:pPr>
      <w:r>
        <w:rPr>
          <w:b/>
          <w:color w:val="1F3864"/>
          <w:sz w:val="21"/>
        </w:rPr>
        <w:t>16.  Cost Structure and Unit Economics</w:t>
      </w:r>
    </w:p>
    <w:tbl>
      <w:tblPr>
        <w:tblW w:w="10205"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2000"/>
        <w:gridCol w:w="911"/>
        <w:gridCol w:w="911"/>
        <w:gridCol w:w="911"/>
        <w:gridCol w:w="911"/>
        <w:gridCol w:w="911"/>
        <w:gridCol w:w="911"/>
        <w:gridCol w:w="911"/>
        <w:gridCol w:w="911"/>
        <w:gridCol w:w="911"/>
      </w:tblGrid>
      <w:tr>
        <w:tc>
          <w:tcPr>
            <w:tcW w:type="dxa" w:w="2000"/>
            <w:shd w:val="clear" w:color="auto" w:fill="1F3864"/>
          </w:tcPr>
          <w:p>
            <w:pPr>
              <w:spacing w:before="50" w:after="50"/>
              <w:jc w:val="left"/>
            </w:pPr>
            <w:r>
              <w:rPr>
                <w:b/>
                <w:color w:val="FFFFFF"/>
                <w:sz w:val="15"/>
              </w:rPr>
              <w:t>As % of revenue</w:t>
            </w:r>
          </w:p>
        </w:tc>
        <w:tc>
          <w:tcPr>
            <w:tcW w:type="dxa" w:w="912"/>
            <w:shd w:val="clear" w:color="auto" w:fill="1F3864"/>
          </w:tcPr>
          <w:p>
            <w:pPr>
              <w:spacing w:before="50" w:after="50"/>
              <w:jc w:val="right"/>
            </w:pPr>
            <w:r>
              <w:rPr>
                <w:b/>
                <w:color w:val="FFFFFF"/>
                <w:sz w:val="15"/>
              </w:rPr>
              <w:t>FY22A</w:t>
            </w:r>
          </w:p>
        </w:tc>
        <w:tc>
          <w:tcPr>
            <w:tcW w:type="dxa" w:w="912"/>
            <w:shd w:val="clear" w:color="auto" w:fill="1F3864"/>
          </w:tcPr>
          <w:p>
            <w:pPr>
              <w:spacing w:before="50" w:after="50"/>
              <w:jc w:val="right"/>
            </w:pPr>
            <w:r>
              <w:rPr>
                <w:b/>
                <w:color w:val="FFFFFF"/>
                <w:sz w:val="15"/>
              </w:rPr>
              <w:t>FY23A</w:t>
            </w:r>
          </w:p>
        </w:tc>
        <w:tc>
          <w:tcPr>
            <w:tcW w:type="dxa" w:w="912"/>
            <w:shd w:val="clear" w:color="auto" w:fill="1F3864"/>
          </w:tcPr>
          <w:p>
            <w:pPr>
              <w:spacing w:before="50" w:after="50"/>
              <w:jc w:val="right"/>
            </w:pPr>
            <w:r>
              <w:rPr>
                <w:b/>
                <w:color w:val="FFFFFF"/>
                <w:sz w:val="15"/>
              </w:rPr>
              <w:t>FY24A</w:t>
            </w:r>
          </w:p>
        </w:tc>
        <w:tc>
          <w:tcPr>
            <w:tcW w:type="dxa" w:w="912"/>
            <w:shd w:val="clear" w:color="auto" w:fill="1F3864"/>
          </w:tcPr>
          <w:p>
            <w:pPr>
              <w:spacing w:before="50" w:after="50"/>
              <w:jc w:val="right"/>
            </w:pPr>
            <w:r>
              <w:rPr>
                <w:b/>
                <w:color w:val="FFFFFF"/>
                <w:sz w:val="15"/>
              </w:rPr>
              <w:t>FY25A</w:t>
            </w:r>
          </w:p>
        </w:tc>
        <w:tc>
          <w:tcPr>
            <w:tcW w:type="dxa" w:w="912"/>
            <w:shd w:val="clear" w:color="auto" w:fill="1F3864"/>
          </w:tcPr>
          <w:p>
            <w:pPr>
              <w:spacing w:before="50" w:after="50"/>
              <w:jc w:val="right"/>
            </w:pPr>
            <w:r>
              <w:rPr>
                <w:b/>
                <w:color w:val="FFFFFF"/>
                <w:sz w:val="15"/>
              </w:rPr>
              <w:t>FY26A</w:t>
            </w:r>
          </w:p>
        </w:tc>
        <w:tc>
          <w:tcPr>
            <w:tcW w:type="dxa" w:w="912"/>
            <w:shd w:val="clear" w:color="auto" w:fill="1F3864"/>
          </w:tcPr>
          <w:p>
            <w:pPr>
              <w:spacing w:before="50" w:after="50"/>
              <w:jc w:val="right"/>
            </w:pPr>
            <w:r>
              <w:rPr>
                <w:b/>
                <w:color w:val="FFFFFF"/>
                <w:sz w:val="15"/>
              </w:rPr>
              <w:t>FY27E</w:t>
            </w:r>
          </w:p>
        </w:tc>
        <w:tc>
          <w:tcPr>
            <w:tcW w:type="dxa" w:w="912"/>
            <w:shd w:val="clear" w:color="auto" w:fill="1F3864"/>
          </w:tcPr>
          <w:p>
            <w:pPr>
              <w:spacing w:before="50" w:after="50"/>
              <w:jc w:val="right"/>
            </w:pPr>
            <w:r>
              <w:rPr>
                <w:b/>
                <w:color w:val="FFFFFF"/>
                <w:sz w:val="15"/>
              </w:rPr>
              <w:t>FY28E</w:t>
            </w:r>
          </w:p>
        </w:tc>
        <w:tc>
          <w:tcPr>
            <w:tcW w:type="dxa" w:w="912"/>
            <w:shd w:val="clear" w:color="auto" w:fill="1F3864"/>
          </w:tcPr>
          <w:p>
            <w:pPr>
              <w:spacing w:before="50" w:after="50"/>
              <w:jc w:val="right"/>
            </w:pPr>
            <w:r>
              <w:rPr>
                <w:b/>
                <w:color w:val="FFFFFF"/>
                <w:sz w:val="15"/>
              </w:rPr>
              <w:t>FY29E</w:t>
            </w:r>
          </w:p>
        </w:tc>
        <w:tc>
          <w:tcPr>
            <w:tcW w:type="dxa" w:w="912"/>
            <w:shd w:val="clear" w:color="auto" w:fill="1F3864"/>
          </w:tcPr>
          <w:p>
            <w:pPr>
              <w:spacing w:before="50" w:after="50"/>
              <w:jc w:val="right"/>
            </w:pPr>
            <w:r>
              <w:rPr>
                <w:b/>
                <w:color w:val="FFFFFF"/>
                <w:sz w:val="15"/>
              </w:rPr>
              <w:t>FY30E</w:t>
            </w:r>
          </w:p>
        </w:tc>
      </w:tr>
      <w:tr>
        <w:tc>
          <w:tcPr>
            <w:tcW w:type="dxa" w:w="2000"/>
          </w:tcPr>
          <w:p>
            <w:pPr>
              <w:spacing w:before="32" w:after="32" w:line="240" w:lineRule="auto"/>
              <w:jc w:val="left"/>
            </w:pPr>
            <w:r>
              <w:rPr>
                <w:b w:val="0"/>
                <w:color w:val="0B0B0B"/>
                <w:sz w:val="15"/>
              </w:rPr>
              <w:t>Fuel cost</w:t>
            </w:r>
          </w:p>
        </w:tc>
        <w:tc>
          <w:tcPr>
            <w:tcW w:type="dxa" w:w="912"/>
          </w:tcPr>
          <w:p>
            <w:pPr>
              <w:spacing w:before="32" w:after="32" w:line="240" w:lineRule="auto"/>
              <w:jc w:val="right"/>
            </w:pPr>
            <w:r>
              <w:rPr>
                <w:b w:val="0"/>
                <w:color w:val="0B0B0B"/>
                <w:sz w:val="15"/>
              </w:rPr>
              <w:t>42.8%</w:t>
            </w:r>
          </w:p>
        </w:tc>
        <w:tc>
          <w:tcPr>
            <w:tcW w:type="dxa" w:w="912"/>
          </w:tcPr>
          <w:p>
            <w:pPr>
              <w:spacing w:before="32" w:after="32" w:line="240" w:lineRule="auto"/>
              <w:jc w:val="right"/>
            </w:pPr>
            <w:r>
              <w:rPr>
                <w:b w:val="0"/>
                <w:color w:val="0B0B0B"/>
                <w:sz w:val="15"/>
              </w:rPr>
              <w:t>53.9%</w:t>
            </w:r>
          </w:p>
        </w:tc>
        <w:tc>
          <w:tcPr>
            <w:tcW w:type="dxa" w:w="912"/>
          </w:tcPr>
          <w:p>
            <w:pPr>
              <w:spacing w:before="32" w:after="32" w:line="240" w:lineRule="auto"/>
              <w:jc w:val="right"/>
            </w:pPr>
            <w:r>
              <w:rPr>
                <w:b w:val="0"/>
                <w:color w:val="0B0B0B"/>
                <w:sz w:val="15"/>
              </w:rPr>
              <w:t>39.9%</w:t>
            </w:r>
          </w:p>
        </w:tc>
        <w:tc>
          <w:tcPr>
            <w:tcW w:type="dxa" w:w="912"/>
          </w:tcPr>
          <w:p>
            <w:pPr>
              <w:spacing w:before="32" w:after="32" w:line="240" w:lineRule="auto"/>
              <w:jc w:val="right"/>
            </w:pPr>
            <w:r>
              <w:rPr>
                <w:b w:val="0"/>
                <w:color w:val="0B0B0B"/>
                <w:sz w:val="15"/>
              </w:rPr>
              <w:t>37.9%</w:t>
            </w:r>
          </w:p>
        </w:tc>
        <w:tc>
          <w:tcPr>
            <w:tcW w:type="dxa" w:w="912"/>
          </w:tcPr>
          <w:p>
            <w:pPr>
              <w:spacing w:before="32" w:after="32" w:line="240" w:lineRule="auto"/>
              <w:jc w:val="right"/>
            </w:pPr>
            <w:r>
              <w:rPr>
                <w:b w:val="0"/>
                <w:color w:val="0B0B0B"/>
                <w:sz w:val="15"/>
              </w:rPr>
              <w:t>29.5%</w:t>
            </w:r>
          </w:p>
        </w:tc>
        <w:tc>
          <w:tcPr>
            <w:tcW w:type="dxa" w:w="912"/>
          </w:tcPr>
          <w:p>
            <w:pPr>
              <w:spacing w:before="32" w:after="32" w:line="240" w:lineRule="auto"/>
              <w:jc w:val="right"/>
            </w:pPr>
            <w:r>
              <w:rPr>
                <w:b w:val="0"/>
                <w:color w:val="0B0B0B"/>
                <w:sz w:val="15"/>
              </w:rPr>
              <w:t>32.3%</w:t>
            </w:r>
          </w:p>
        </w:tc>
        <w:tc>
          <w:tcPr>
            <w:tcW w:type="dxa" w:w="912"/>
          </w:tcPr>
          <w:p>
            <w:pPr>
              <w:spacing w:before="32" w:after="32" w:line="240" w:lineRule="auto"/>
              <w:jc w:val="right"/>
            </w:pPr>
            <w:r>
              <w:rPr>
                <w:b w:val="0"/>
                <w:color w:val="0B0B0B"/>
                <w:sz w:val="15"/>
              </w:rPr>
              <w:t>30.0%</w:t>
            </w:r>
          </w:p>
        </w:tc>
        <w:tc>
          <w:tcPr>
            <w:tcW w:type="dxa" w:w="912"/>
          </w:tcPr>
          <w:p>
            <w:pPr>
              <w:spacing w:before="32" w:after="32" w:line="240" w:lineRule="auto"/>
              <w:jc w:val="right"/>
            </w:pPr>
            <w:r>
              <w:rPr>
                <w:b w:val="0"/>
                <w:color w:val="0B0B0B"/>
                <w:sz w:val="15"/>
              </w:rPr>
              <w:t>27.2%</w:t>
            </w:r>
          </w:p>
        </w:tc>
        <w:tc>
          <w:tcPr>
            <w:tcW w:type="dxa" w:w="912"/>
          </w:tcPr>
          <w:p>
            <w:pPr>
              <w:spacing w:before="32" w:after="32" w:line="240" w:lineRule="auto"/>
              <w:jc w:val="right"/>
            </w:pPr>
            <w:r>
              <w:rPr>
                <w:b w:val="0"/>
                <w:color w:val="0B0B0B"/>
                <w:sz w:val="15"/>
              </w:rPr>
              <w:t>25.5%</w:t>
            </w:r>
          </w:p>
        </w:tc>
      </w:tr>
      <w:tr>
        <w:tc>
          <w:tcPr>
            <w:tcW w:type="dxa" w:w="2000"/>
            <w:shd w:val="clear" w:color="auto" w:fill="EEF3FA"/>
          </w:tcPr>
          <w:p>
            <w:pPr>
              <w:spacing w:before="32" w:after="32" w:line="240" w:lineRule="auto"/>
              <w:jc w:val="left"/>
            </w:pPr>
            <w:r>
              <w:rPr>
                <w:b w:val="0"/>
                <w:color w:val="0B0B0B"/>
                <w:sz w:val="15"/>
              </w:rPr>
              <w:t>Electricity purchased</w:t>
            </w:r>
          </w:p>
        </w:tc>
        <w:tc>
          <w:tcPr>
            <w:tcW w:type="dxa" w:w="912"/>
            <w:shd w:val="clear" w:color="auto" w:fill="EEF3FA"/>
          </w:tcPr>
          <w:p>
            <w:pPr>
              <w:spacing w:before="32" w:after="32" w:line="240" w:lineRule="auto"/>
              <w:jc w:val="right"/>
            </w:pPr>
            <w:r>
              <w:rPr>
                <w:b w:val="0"/>
                <w:color w:val="0B0B0B"/>
                <w:sz w:val="15"/>
              </w:rPr>
              <w:t>1.0%</w:t>
            </w:r>
          </w:p>
        </w:tc>
        <w:tc>
          <w:tcPr>
            <w:tcW w:type="dxa" w:w="912"/>
            <w:shd w:val="clear" w:color="auto" w:fill="EEF3FA"/>
          </w:tcPr>
          <w:p>
            <w:pPr>
              <w:spacing w:before="32" w:after="32" w:line="240" w:lineRule="auto"/>
              <w:jc w:val="right"/>
            </w:pPr>
            <w:r>
              <w:rPr>
                <w:b w:val="0"/>
                <w:color w:val="0B0B0B"/>
                <w:sz w:val="15"/>
              </w:rPr>
              <w:t>3.6%</w:t>
            </w:r>
          </w:p>
        </w:tc>
        <w:tc>
          <w:tcPr>
            <w:tcW w:type="dxa" w:w="912"/>
            <w:shd w:val="clear" w:color="auto" w:fill="EEF3FA"/>
          </w:tcPr>
          <w:p>
            <w:pPr>
              <w:spacing w:before="32" w:after="32" w:line="240" w:lineRule="auto"/>
              <w:jc w:val="right"/>
            </w:pPr>
            <w:r>
              <w:rPr>
                <w:b w:val="0"/>
                <w:color w:val="0B0B0B"/>
                <w:sz w:val="15"/>
              </w:rPr>
              <w:t>1.1%</w:t>
            </w:r>
          </w:p>
        </w:tc>
        <w:tc>
          <w:tcPr>
            <w:tcW w:type="dxa" w:w="912"/>
            <w:shd w:val="clear" w:color="auto" w:fill="EEF3FA"/>
          </w:tcPr>
          <w:p>
            <w:pPr>
              <w:spacing w:before="32" w:after="32" w:line="240" w:lineRule="auto"/>
              <w:jc w:val="right"/>
            </w:pPr>
            <w:r>
              <w:rPr>
                <w:b w:val="0"/>
                <w:color w:val="0B0B0B"/>
                <w:sz w:val="15"/>
              </w:rPr>
              <w:t>1.2%</w:t>
            </w:r>
          </w:p>
        </w:tc>
        <w:tc>
          <w:tcPr>
            <w:tcW w:type="dxa" w:w="912"/>
            <w:shd w:val="clear" w:color="auto" w:fill="EEF3FA"/>
          </w:tcPr>
          <w:p>
            <w:pPr>
              <w:spacing w:before="32" w:after="32" w:line="240" w:lineRule="auto"/>
              <w:jc w:val="right"/>
            </w:pPr>
            <w:r>
              <w:rPr>
                <w:b w:val="0"/>
                <w:color w:val="0B0B0B"/>
                <w:sz w:val="15"/>
              </w:rPr>
              <w:t>0.5%</w:t>
            </w:r>
          </w:p>
        </w:tc>
        <w:tc>
          <w:tcPr>
            <w:tcW w:type="dxa" w:w="912"/>
            <w:shd w:val="clear" w:color="auto" w:fill="EEF3FA"/>
          </w:tcPr>
          <w:p>
            <w:pPr>
              <w:spacing w:before="32" w:after="32" w:line="240" w:lineRule="auto"/>
              <w:jc w:val="right"/>
            </w:pPr>
            <w:r>
              <w:rPr>
                <w:b w:val="0"/>
                <w:color w:val="0B0B0B"/>
                <w:sz w:val="15"/>
              </w:rPr>
              <w:t>0.5%</w:t>
            </w:r>
          </w:p>
        </w:tc>
        <w:tc>
          <w:tcPr>
            <w:tcW w:type="dxa" w:w="912"/>
            <w:shd w:val="clear" w:color="auto" w:fill="EEF3FA"/>
          </w:tcPr>
          <w:p>
            <w:pPr>
              <w:spacing w:before="32" w:after="32" w:line="240" w:lineRule="auto"/>
              <w:jc w:val="right"/>
            </w:pPr>
            <w:r>
              <w:rPr>
                <w:b w:val="0"/>
                <w:color w:val="0B0B0B"/>
                <w:sz w:val="15"/>
              </w:rPr>
              <w:t>0.5%</w:t>
            </w:r>
          </w:p>
        </w:tc>
        <w:tc>
          <w:tcPr>
            <w:tcW w:type="dxa" w:w="912"/>
            <w:shd w:val="clear" w:color="auto" w:fill="EEF3FA"/>
          </w:tcPr>
          <w:p>
            <w:pPr>
              <w:spacing w:before="32" w:after="32" w:line="240" w:lineRule="auto"/>
              <w:jc w:val="right"/>
            </w:pPr>
            <w:r>
              <w:rPr>
                <w:b w:val="0"/>
                <w:color w:val="0B0B0B"/>
                <w:sz w:val="15"/>
              </w:rPr>
              <w:t>0.4%</w:t>
            </w:r>
          </w:p>
        </w:tc>
        <w:tc>
          <w:tcPr>
            <w:tcW w:type="dxa" w:w="912"/>
            <w:shd w:val="clear" w:color="auto" w:fill="EEF3FA"/>
          </w:tcPr>
          <w:p>
            <w:pPr>
              <w:spacing w:before="32" w:after="32" w:line="240" w:lineRule="auto"/>
              <w:jc w:val="right"/>
            </w:pPr>
            <w:r>
              <w:rPr>
                <w:b w:val="0"/>
                <w:color w:val="0B0B0B"/>
                <w:sz w:val="15"/>
              </w:rPr>
              <w:t>0.4%</w:t>
            </w:r>
          </w:p>
        </w:tc>
      </w:tr>
      <w:tr>
        <w:tc>
          <w:tcPr>
            <w:tcW w:type="dxa" w:w="2000"/>
          </w:tcPr>
          <w:p>
            <w:pPr>
              <w:spacing w:before="32" w:after="32" w:line="240" w:lineRule="auto"/>
              <w:jc w:val="left"/>
            </w:pPr>
            <w:r>
              <w:rPr>
                <w:b w:val="0"/>
                <w:color w:val="0B0B0B"/>
                <w:sz w:val="15"/>
              </w:rPr>
              <w:t>Employee cost</w:t>
            </w:r>
          </w:p>
        </w:tc>
        <w:tc>
          <w:tcPr>
            <w:tcW w:type="dxa" w:w="912"/>
          </w:tcPr>
          <w:p>
            <w:pPr>
              <w:spacing w:before="32" w:after="32" w:line="240" w:lineRule="auto"/>
              <w:jc w:val="right"/>
            </w:pPr>
            <w:r>
              <w:rPr>
                <w:b w:val="0"/>
                <w:color w:val="0B0B0B"/>
                <w:sz w:val="15"/>
              </w:rPr>
              <w:t>3.2%</w:t>
            </w:r>
          </w:p>
        </w:tc>
        <w:tc>
          <w:tcPr>
            <w:tcW w:type="dxa" w:w="912"/>
          </w:tcPr>
          <w:p>
            <w:pPr>
              <w:spacing w:before="32" w:after="32" w:line="240" w:lineRule="auto"/>
              <w:jc w:val="right"/>
            </w:pPr>
            <w:r>
              <w:rPr>
                <w:b w:val="0"/>
                <w:color w:val="0B0B0B"/>
                <w:sz w:val="15"/>
              </w:rPr>
              <w:t>3.0%</w:t>
            </w:r>
          </w:p>
        </w:tc>
        <w:tc>
          <w:tcPr>
            <w:tcW w:type="dxa" w:w="912"/>
          </w:tcPr>
          <w:p>
            <w:pPr>
              <w:spacing w:before="32" w:after="32" w:line="240" w:lineRule="auto"/>
              <w:jc w:val="right"/>
            </w:pPr>
            <w:r>
              <w:rPr>
                <w:b w:val="0"/>
                <w:color w:val="0B0B0B"/>
                <w:sz w:val="15"/>
              </w:rPr>
              <w:t>3.2%</w:t>
            </w:r>
          </w:p>
        </w:tc>
        <w:tc>
          <w:tcPr>
            <w:tcW w:type="dxa" w:w="912"/>
          </w:tcPr>
          <w:p>
            <w:pPr>
              <w:spacing w:before="32" w:after="32" w:line="240" w:lineRule="auto"/>
              <w:jc w:val="right"/>
            </w:pPr>
            <w:r>
              <w:rPr>
                <w:b w:val="0"/>
                <w:color w:val="0B0B0B"/>
                <w:sz w:val="15"/>
              </w:rPr>
              <w:t>4.0%</w:t>
            </w:r>
          </w:p>
        </w:tc>
        <w:tc>
          <w:tcPr>
            <w:tcW w:type="dxa" w:w="912"/>
          </w:tcPr>
          <w:p>
            <w:pPr>
              <w:spacing w:before="32" w:after="32" w:line="240" w:lineRule="auto"/>
              <w:jc w:val="right"/>
            </w:pPr>
            <w:r>
              <w:rPr>
                <w:b w:val="0"/>
                <w:color w:val="0B0B0B"/>
                <w:sz w:val="15"/>
              </w:rPr>
              <w:t>3.9%</w:t>
            </w:r>
          </w:p>
        </w:tc>
        <w:tc>
          <w:tcPr>
            <w:tcW w:type="dxa" w:w="912"/>
          </w:tcPr>
          <w:p>
            <w:pPr>
              <w:spacing w:before="32" w:after="32" w:line="240" w:lineRule="auto"/>
              <w:jc w:val="right"/>
            </w:pPr>
            <w:r>
              <w:rPr>
                <w:b w:val="0"/>
                <w:color w:val="0B0B0B"/>
                <w:sz w:val="15"/>
              </w:rPr>
              <w:t>4.2%</w:t>
            </w:r>
          </w:p>
        </w:tc>
        <w:tc>
          <w:tcPr>
            <w:tcW w:type="dxa" w:w="912"/>
          </w:tcPr>
          <w:p>
            <w:pPr>
              <w:spacing w:before="32" w:after="32" w:line="240" w:lineRule="auto"/>
              <w:jc w:val="right"/>
            </w:pPr>
            <w:r>
              <w:rPr>
                <w:b w:val="0"/>
                <w:color w:val="0B0B0B"/>
                <w:sz w:val="15"/>
              </w:rPr>
              <w:t>3.9%</w:t>
            </w:r>
          </w:p>
        </w:tc>
        <w:tc>
          <w:tcPr>
            <w:tcW w:type="dxa" w:w="912"/>
          </w:tcPr>
          <w:p>
            <w:pPr>
              <w:spacing w:before="32" w:after="32" w:line="240" w:lineRule="auto"/>
              <w:jc w:val="right"/>
            </w:pPr>
            <w:r>
              <w:rPr>
                <w:b w:val="0"/>
                <w:color w:val="0B0B0B"/>
                <w:sz w:val="15"/>
              </w:rPr>
              <w:t>3.5%</w:t>
            </w:r>
          </w:p>
        </w:tc>
        <w:tc>
          <w:tcPr>
            <w:tcW w:type="dxa" w:w="912"/>
          </w:tcPr>
          <w:p>
            <w:pPr>
              <w:spacing w:before="32" w:after="32" w:line="240" w:lineRule="auto"/>
              <w:jc w:val="right"/>
            </w:pPr>
            <w:r>
              <w:rPr>
                <w:b w:val="0"/>
                <w:color w:val="0B0B0B"/>
                <w:sz w:val="15"/>
              </w:rPr>
              <w:t>3.3%</w:t>
            </w:r>
          </w:p>
        </w:tc>
      </w:tr>
      <w:tr>
        <w:tc>
          <w:tcPr>
            <w:tcW w:type="dxa" w:w="2000"/>
            <w:shd w:val="clear" w:color="auto" w:fill="EEF3FA"/>
          </w:tcPr>
          <w:p>
            <w:pPr>
              <w:spacing w:before="32" w:after="32" w:line="240" w:lineRule="auto"/>
              <w:jc w:val="left"/>
            </w:pPr>
            <w:r>
              <w:rPr>
                <w:b w:val="0"/>
                <w:color w:val="0B0B0B"/>
                <w:sz w:val="15"/>
              </w:rPr>
              <w:t>Other expenses</w:t>
            </w:r>
          </w:p>
        </w:tc>
        <w:tc>
          <w:tcPr>
            <w:tcW w:type="dxa" w:w="912"/>
            <w:shd w:val="clear" w:color="auto" w:fill="EEF3FA"/>
          </w:tcPr>
          <w:p>
            <w:pPr>
              <w:spacing w:before="32" w:after="32" w:line="240" w:lineRule="auto"/>
              <w:jc w:val="right"/>
            </w:pPr>
            <w:r>
              <w:rPr>
                <w:b w:val="0"/>
                <w:color w:val="0B0B0B"/>
                <w:sz w:val="15"/>
              </w:rPr>
              <w:t>9.3%</w:t>
            </w:r>
          </w:p>
        </w:tc>
        <w:tc>
          <w:tcPr>
            <w:tcW w:type="dxa" w:w="912"/>
            <w:shd w:val="clear" w:color="auto" w:fill="EEF3FA"/>
          </w:tcPr>
          <w:p>
            <w:pPr>
              <w:spacing w:before="32" w:after="32" w:line="240" w:lineRule="auto"/>
              <w:jc w:val="right"/>
            </w:pPr>
            <w:r>
              <w:rPr>
                <w:b w:val="0"/>
                <w:color w:val="0B0B0B"/>
                <w:sz w:val="15"/>
              </w:rPr>
              <w:t>7.8%</w:t>
            </w:r>
          </w:p>
        </w:tc>
        <w:tc>
          <w:tcPr>
            <w:tcW w:type="dxa" w:w="912"/>
            <w:shd w:val="clear" w:color="auto" w:fill="EEF3FA"/>
          </w:tcPr>
          <w:p>
            <w:pPr>
              <w:spacing w:before="32" w:after="32" w:line="240" w:lineRule="auto"/>
              <w:jc w:val="right"/>
            </w:pPr>
            <w:r>
              <w:rPr>
                <w:b w:val="0"/>
                <w:color w:val="0B0B0B"/>
                <w:sz w:val="15"/>
              </w:rPr>
              <w:t>9.0%</w:t>
            </w:r>
          </w:p>
        </w:tc>
        <w:tc>
          <w:tcPr>
            <w:tcW w:type="dxa" w:w="912"/>
            <w:shd w:val="clear" w:color="auto" w:fill="EEF3FA"/>
          </w:tcPr>
          <w:p>
            <w:pPr>
              <w:spacing w:before="32" w:after="32" w:line="240" w:lineRule="auto"/>
              <w:jc w:val="right"/>
            </w:pPr>
            <w:r>
              <w:rPr>
                <w:b w:val="0"/>
                <w:color w:val="0B0B0B"/>
                <w:sz w:val="15"/>
              </w:rPr>
              <w:t>12.5%</w:t>
            </w:r>
          </w:p>
        </w:tc>
        <w:tc>
          <w:tcPr>
            <w:tcW w:type="dxa" w:w="912"/>
            <w:shd w:val="clear" w:color="auto" w:fill="EEF3FA"/>
          </w:tcPr>
          <w:p>
            <w:pPr>
              <w:spacing w:before="32" w:after="32" w:line="240" w:lineRule="auto"/>
              <w:jc w:val="right"/>
            </w:pPr>
            <w:r>
              <w:rPr>
                <w:b w:val="0"/>
                <w:color w:val="0B0B0B"/>
                <w:sz w:val="15"/>
              </w:rPr>
              <w:t>12.9%</w:t>
            </w:r>
          </w:p>
        </w:tc>
        <w:tc>
          <w:tcPr>
            <w:tcW w:type="dxa" w:w="912"/>
            <w:shd w:val="clear" w:color="auto" w:fill="EEF3FA"/>
          </w:tcPr>
          <w:p>
            <w:pPr>
              <w:spacing w:before="32" w:after="32" w:line="240" w:lineRule="auto"/>
              <w:jc w:val="right"/>
            </w:pPr>
            <w:r>
              <w:rPr>
                <w:b w:val="0"/>
                <w:color w:val="0B0B0B"/>
                <w:sz w:val="15"/>
              </w:rPr>
              <w:t>14.1%</w:t>
            </w:r>
          </w:p>
        </w:tc>
        <w:tc>
          <w:tcPr>
            <w:tcW w:type="dxa" w:w="912"/>
            <w:shd w:val="clear" w:color="auto" w:fill="EEF3FA"/>
          </w:tcPr>
          <w:p>
            <w:pPr>
              <w:spacing w:before="32" w:after="32" w:line="240" w:lineRule="auto"/>
              <w:jc w:val="right"/>
            </w:pPr>
            <w:r>
              <w:rPr>
                <w:b w:val="0"/>
                <w:color w:val="0B0B0B"/>
                <w:sz w:val="15"/>
              </w:rPr>
              <w:t>13.1%</w:t>
            </w:r>
          </w:p>
        </w:tc>
        <w:tc>
          <w:tcPr>
            <w:tcW w:type="dxa" w:w="912"/>
            <w:shd w:val="clear" w:color="auto" w:fill="EEF3FA"/>
          </w:tcPr>
          <w:p>
            <w:pPr>
              <w:spacing w:before="32" w:after="32" w:line="240" w:lineRule="auto"/>
              <w:jc w:val="right"/>
            </w:pPr>
            <w:r>
              <w:rPr>
                <w:b w:val="0"/>
                <w:color w:val="0B0B0B"/>
                <w:sz w:val="15"/>
              </w:rPr>
              <w:t>11.9%</w:t>
            </w:r>
          </w:p>
        </w:tc>
        <w:tc>
          <w:tcPr>
            <w:tcW w:type="dxa" w:w="912"/>
            <w:shd w:val="clear" w:color="auto" w:fill="EEF3FA"/>
          </w:tcPr>
          <w:p>
            <w:pPr>
              <w:spacing w:before="32" w:after="32" w:line="240" w:lineRule="auto"/>
              <w:jc w:val="right"/>
            </w:pPr>
            <w:r>
              <w:rPr>
                <w:b w:val="0"/>
                <w:color w:val="0B0B0B"/>
                <w:sz w:val="15"/>
              </w:rPr>
              <w:t>11.2%</w:t>
            </w:r>
          </w:p>
        </w:tc>
      </w:tr>
      <w:tr>
        <w:tc>
          <w:tcPr>
            <w:tcW w:type="dxa" w:w="2000"/>
          </w:tcPr>
          <w:p>
            <w:pPr>
              <w:spacing w:before="32" w:after="32" w:line="240" w:lineRule="auto"/>
              <w:jc w:val="left"/>
            </w:pPr>
            <w:r>
              <w:rPr>
                <w:b w:val="0"/>
                <w:color w:val="0B0B0B"/>
                <w:sz w:val="15"/>
              </w:rPr>
              <w:t>Total operating cost</w:t>
            </w:r>
          </w:p>
        </w:tc>
        <w:tc>
          <w:tcPr>
            <w:tcW w:type="dxa" w:w="912"/>
          </w:tcPr>
          <w:p>
            <w:pPr>
              <w:spacing w:before="32" w:after="32" w:line="240" w:lineRule="auto"/>
              <w:jc w:val="right"/>
            </w:pPr>
            <w:r>
              <w:rPr>
                <w:b w:val="0"/>
                <w:color w:val="0B0B0B"/>
                <w:sz w:val="15"/>
              </w:rPr>
              <w:t>56.3%</w:t>
            </w:r>
          </w:p>
        </w:tc>
        <w:tc>
          <w:tcPr>
            <w:tcW w:type="dxa" w:w="912"/>
          </w:tcPr>
          <w:p>
            <w:pPr>
              <w:spacing w:before="32" w:after="32" w:line="240" w:lineRule="auto"/>
              <w:jc w:val="right"/>
            </w:pPr>
            <w:r>
              <w:rPr>
                <w:b w:val="0"/>
                <w:color w:val="0B0B0B"/>
                <w:sz w:val="15"/>
              </w:rPr>
              <w:t>68.2%</w:t>
            </w:r>
          </w:p>
        </w:tc>
        <w:tc>
          <w:tcPr>
            <w:tcW w:type="dxa" w:w="912"/>
          </w:tcPr>
          <w:p>
            <w:pPr>
              <w:spacing w:before="32" w:after="32" w:line="240" w:lineRule="auto"/>
              <w:jc w:val="right"/>
            </w:pPr>
            <w:r>
              <w:rPr>
                <w:b w:val="0"/>
                <w:color w:val="0B0B0B"/>
                <w:sz w:val="15"/>
              </w:rPr>
              <w:t>53.1%</w:t>
            </w:r>
          </w:p>
        </w:tc>
        <w:tc>
          <w:tcPr>
            <w:tcW w:type="dxa" w:w="912"/>
          </w:tcPr>
          <w:p>
            <w:pPr>
              <w:spacing w:before="32" w:after="32" w:line="240" w:lineRule="auto"/>
              <w:jc w:val="right"/>
            </w:pPr>
            <w:r>
              <w:rPr>
                <w:b w:val="0"/>
                <w:color w:val="0B0B0B"/>
                <w:sz w:val="15"/>
              </w:rPr>
              <w:t>55.6%</w:t>
            </w:r>
          </w:p>
        </w:tc>
        <w:tc>
          <w:tcPr>
            <w:tcW w:type="dxa" w:w="912"/>
          </w:tcPr>
          <w:p>
            <w:pPr>
              <w:spacing w:before="32" w:after="32" w:line="240" w:lineRule="auto"/>
              <w:jc w:val="right"/>
            </w:pPr>
            <w:r>
              <w:rPr>
                <w:b w:val="0"/>
                <w:color w:val="0B0B0B"/>
                <w:sz w:val="15"/>
              </w:rPr>
              <w:t>46.8%</w:t>
            </w:r>
          </w:p>
        </w:tc>
        <w:tc>
          <w:tcPr>
            <w:tcW w:type="dxa" w:w="912"/>
          </w:tcPr>
          <w:p>
            <w:pPr>
              <w:spacing w:before="32" w:after="32" w:line="240" w:lineRule="auto"/>
              <w:jc w:val="right"/>
            </w:pPr>
            <w:r>
              <w:rPr>
                <w:b w:val="0"/>
                <w:color w:val="0B0B0B"/>
                <w:sz w:val="15"/>
              </w:rPr>
              <w:t>51.2%</w:t>
            </w:r>
          </w:p>
        </w:tc>
        <w:tc>
          <w:tcPr>
            <w:tcW w:type="dxa" w:w="912"/>
          </w:tcPr>
          <w:p>
            <w:pPr>
              <w:spacing w:before="32" w:after="32" w:line="240" w:lineRule="auto"/>
              <w:jc w:val="right"/>
            </w:pPr>
            <w:r>
              <w:rPr>
                <w:b w:val="0"/>
                <w:color w:val="0B0B0B"/>
                <w:sz w:val="15"/>
              </w:rPr>
              <w:t>47.5%</w:t>
            </w:r>
          </w:p>
        </w:tc>
        <w:tc>
          <w:tcPr>
            <w:tcW w:type="dxa" w:w="912"/>
          </w:tcPr>
          <w:p>
            <w:pPr>
              <w:spacing w:before="32" w:after="32" w:line="240" w:lineRule="auto"/>
              <w:jc w:val="right"/>
            </w:pPr>
            <w:r>
              <w:rPr>
                <w:b w:val="0"/>
                <w:color w:val="0B0B0B"/>
                <w:sz w:val="15"/>
              </w:rPr>
              <w:t>43.1%</w:t>
            </w:r>
          </w:p>
        </w:tc>
        <w:tc>
          <w:tcPr>
            <w:tcW w:type="dxa" w:w="912"/>
          </w:tcPr>
          <w:p>
            <w:pPr>
              <w:spacing w:before="32" w:after="32" w:line="240" w:lineRule="auto"/>
              <w:jc w:val="right"/>
            </w:pPr>
            <w:r>
              <w:rPr>
                <w:b w:val="0"/>
                <w:color w:val="0B0B0B"/>
                <w:sz w:val="15"/>
              </w:rPr>
              <w:t>40.4%</w:t>
            </w:r>
          </w:p>
        </w:tc>
      </w:tr>
      <w:tr>
        <w:tc>
          <w:tcPr>
            <w:tcW w:type="dxa" w:w="2000"/>
            <w:shd w:val="clear" w:color="auto" w:fill="DCE6F2"/>
          </w:tcPr>
          <w:p>
            <w:pPr>
              <w:spacing w:before="32" w:after="32" w:line="240" w:lineRule="auto"/>
              <w:jc w:val="left"/>
            </w:pPr>
            <w:r>
              <w:rPr>
                <w:b/>
                <w:color w:val="0B0B0B"/>
                <w:sz w:val="15"/>
              </w:rPr>
              <w:t>EBITDA margin</w:t>
            </w:r>
          </w:p>
        </w:tc>
        <w:tc>
          <w:tcPr>
            <w:tcW w:type="dxa" w:w="912"/>
            <w:shd w:val="clear" w:color="auto" w:fill="DCE6F2"/>
          </w:tcPr>
          <w:p>
            <w:pPr>
              <w:spacing w:before="32" w:after="32" w:line="240" w:lineRule="auto"/>
              <w:jc w:val="right"/>
            </w:pPr>
            <w:r>
              <w:rPr>
                <w:b/>
                <w:color w:val="0B0B0B"/>
                <w:sz w:val="15"/>
              </w:rPr>
              <w:t>43.7%</w:t>
            </w:r>
          </w:p>
        </w:tc>
        <w:tc>
          <w:tcPr>
            <w:tcW w:type="dxa" w:w="912"/>
            <w:shd w:val="clear" w:color="auto" w:fill="DCE6F2"/>
          </w:tcPr>
          <w:p>
            <w:pPr>
              <w:spacing w:before="32" w:after="32" w:line="240" w:lineRule="auto"/>
              <w:jc w:val="right"/>
            </w:pPr>
            <w:r>
              <w:rPr>
                <w:b/>
                <w:color w:val="0B0B0B"/>
                <w:sz w:val="15"/>
              </w:rPr>
              <w:t>31.8%</w:t>
            </w:r>
          </w:p>
        </w:tc>
        <w:tc>
          <w:tcPr>
            <w:tcW w:type="dxa" w:w="912"/>
            <w:shd w:val="clear" w:color="auto" w:fill="DCE6F2"/>
          </w:tcPr>
          <w:p>
            <w:pPr>
              <w:spacing w:before="32" w:after="32" w:line="240" w:lineRule="auto"/>
              <w:jc w:val="right"/>
            </w:pPr>
            <w:r>
              <w:rPr>
                <w:b/>
                <w:color w:val="0B0B0B"/>
                <w:sz w:val="15"/>
              </w:rPr>
              <w:t>46.9%</w:t>
            </w:r>
          </w:p>
        </w:tc>
        <w:tc>
          <w:tcPr>
            <w:tcW w:type="dxa" w:w="912"/>
            <w:shd w:val="clear" w:color="auto" w:fill="DCE6F2"/>
          </w:tcPr>
          <w:p>
            <w:pPr>
              <w:spacing w:before="32" w:after="32" w:line="240" w:lineRule="auto"/>
              <w:jc w:val="right"/>
            </w:pPr>
            <w:r>
              <w:rPr>
                <w:b/>
                <w:color w:val="0B0B0B"/>
                <w:sz w:val="15"/>
              </w:rPr>
              <w:t>44.4%</w:t>
            </w:r>
          </w:p>
        </w:tc>
        <w:tc>
          <w:tcPr>
            <w:tcW w:type="dxa" w:w="912"/>
            <w:shd w:val="clear" w:color="auto" w:fill="DCE6F2"/>
          </w:tcPr>
          <w:p>
            <w:pPr>
              <w:spacing w:before="32" w:after="32" w:line="240" w:lineRule="auto"/>
              <w:jc w:val="right"/>
            </w:pPr>
            <w:r>
              <w:rPr>
                <w:b/>
                <w:color w:val="0B0B0B"/>
                <w:sz w:val="15"/>
              </w:rPr>
              <w:t>53.2%</w:t>
            </w:r>
          </w:p>
        </w:tc>
        <w:tc>
          <w:tcPr>
            <w:tcW w:type="dxa" w:w="912"/>
            <w:shd w:val="clear" w:color="auto" w:fill="DCE6F2"/>
          </w:tcPr>
          <w:p>
            <w:pPr>
              <w:spacing w:before="32" w:after="32" w:line="240" w:lineRule="auto"/>
              <w:jc w:val="right"/>
            </w:pPr>
            <w:r>
              <w:rPr>
                <w:b/>
                <w:color w:val="0B0B0B"/>
                <w:sz w:val="15"/>
              </w:rPr>
              <w:t>48.8%</w:t>
            </w:r>
          </w:p>
        </w:tc>
        <w:tc>
          <w:tcPr>
            <w:tcW w:type="dxa" w:w="912"/>
            <w:shd w:val="clear" w:color="auto" w:fill="DCE6F2"/>
          </w:tcPr>
          <w:p>
            <w:pPr>
              <w:spacing w:before="32" w:after="32" w:line="240" w:lineRule="auto"/>
              <w:jc w:val="right"/>
            </w:pPr>
            <w:r>
              <w:rPr>
                <w:b/>
                <w:color w:val="0B0B0B"/>
                <w:sz w:val="15"/>
              </w:rPr>
              <w:t>52.5%</w:t>
            </w:r>
          </w:p>
        </w:tc>
        <w:tc>
          <w:tcPr>
            <w:tcW w:type="dxa" w:w="912"/>
            <w:shd w:val="clear" w:color="auto" w:fill="DCE6F2"/>
          </w:tcPr>
          <w:p>
            <w:pPr>
              <w:spacing w:before="32" w:after="32" w:line="240" w:lineRule="auto"/>
              <w:jc w:val="right"/>
            </w:pPr>
            <w:r>
              <w:rPr>
                <w:b/>
                <w:color w:val="0B0B0B"/>
                <w:sz w:val="15"/>
              </w:rPr>
              <w:t>56.9%</w:t>
            </w:r>
          </w:p>
        </w:tc>
        <w:tc>
          <w:tcPr>
            <w:tcW w:type="dxa" w:w="912"/>
            <w:shd w:val="clear" w:color="auto" w:fill="DCE6F2"/>
          </w:tcPr>
          <w:p>
            <w:pPr>
              <w:spacing w:before="32" w:after="32" w:line="240" w:lineRule="auto"/>
              <w:jc w:val="right"/>
            </w:pPr>
            <w:r>
              <w:rPr>
                <w:b/>
                <w:color w:val="0B0B0B"/>
                <w:sz w:val="15"/>
              </w:rPr>
              <w:t>59.6%</w:t>
            </w:r>
          </w:p>
        </w:tc>
      </w:tr>
      <w:tr>
        <w:tc>
          <w:tcPr>
            <w:tcW w:type="dxa" w:w="2000"/>
          </w:tcPr>
          <w:p>
            <w:pPr>
              <w:spacing w:before="32" w:after="32" w:line="240" w:lineRule="auto"/>
              <w:jc w:val="left"/>
            </w:pPr>
            <w:r>
              <w:rPr>
                <w:b w:val="0"/>
                <w:color w:val="0B0B0B"/>
                <w:sz w:val="15"/>
              </w:rPr>
              <w:t>Memo: fuel cost (Rs.cr)</w:t>
            </w:r>
          </w:p>
        </w:tc>
        <w:tc>
          <w:tcPr>
            <w:tcW w:type="dxa" w:w="912"/>
          </w:tcPr>
          <w:p>
            <w:pPr>
              <w:spacing w:before="32" w:after="32" w:line="240" w:lineRule="auto"/>
              <w:jc w:val="right"/>
            </w:pPr>
            <w:r>
              <w:rPr>
                <w:b w:val="0"/>
                <w:color w:val="0B0B0B"/>
                <w:sz w:val="15"/>
              </w:rPr>
              <w:t>3,494</w:t>
            </w:r>
          </w:p>
        </w:tc>
        <w:tc>
          <w:tcPr>
            <w:tcW w:type="dxa" w:w="912"/>
          </w:tcPr>
          <w:p>
            <w:pPr>
              <w:spacing w:before="32" w:after="32" w:line="240" w:lineRule="auto"/>
              <w:jc w:val="right"/>
            </w:pPr>
            <w:r>
              <w:rPr>
                <w:b w:val="0"/>
                <w:color w:val="0B0B0B"/>
                <w:sz w:val="15"/>
              </w:rPr>
              <w:t>5,570</w:t>
            </w:r>
          </w:p>
        </w:tc>
        <w:tc>
          <w:tcPr>
            <w:tcW w:type="dxa" w:w="912"/>
          </w:tcPr>
          <w:p>
            <w:pPr>
              <w:spacing w:before="32" w:after="32" w:line="240" w:lineRule="auto"/>
              <w:jc w:val="right"/>
            </w:pPr>
            <w:r>
              <w:rPr>
                <w:b w:val="0"/>
                <w:color w:val="0B0B0B"/>
                <w:sz w:val="15"/>
              </w:rPr>
              <w:t>4,582</w:t>
            </w:r>
          </w:p>
        </w:tc>
        <w:tc>
          <w:tcPr>
            <w:tcW w:type="dxa" w:w="912"/>
          </w:tcPr>
          <w:p>
            <w:pPr>
              <w:spacing w:before="32" w:after="32" w:line="240" w:lineRule="auto"/>
              <w:jc w:val="right"/>
            </w:pPr>
            <w:r>
              <w:rPr>
                <w:b w:val="0"/>
                <w:color w:val="0B0B0B"/>
                <w:sz w:val="15"/>
              </w:rPr>
              <w:t>4,456</w:t>
            </w:r>
          </w:p>
        </w:tc>
        <w:tc>
          <w:tcPr>
            <w:tcW w:type="dxa" w:w="912"/>
          </w:tcPr>
          <w:p>
            <w:pPr>
              <w:spacing w:before="32" w:after="32" w:line="240" w:lineRule="auto"/>
              <w:jc w:val="right"/>
            </w:pPr>
            <w:r>
              <w:rPr>
                <w:b w:val="0"/>
                <w:color w:val="0B0B0B"/>
                <w:sz w:val="15"/>
              </w:rPr>
              <w:t>5,581</w:t>
            </w:r>
          </w:p>
        </w:tc>
        <w:tc>
          <w:tcPr>
            <w:tcW w:type="dxa" w:w="912"/>
          </w:tcPr>
          <w:p>
            <w:pPr>
              <w:spacing w:before="32" w:after="32" w:line="240" w:lineRule="auto"/>
              <w:jc w:val="right"/>
            </w:pPr>
            <w:r>
              <w:rPr>
                <w:b w:val="0"/>
                <w:color w:val="0B0B0B"/>
                <w:sz w:val="15"/>
              </w:rPr>
              <w:t>8,579</w:t>
            </w:r>
          </w:p>
        </w:tc>
        <w:tc>
          <w:tcPr>
            <w:tcW w:type="dxa" w:w="912"/>
          </w:tcPr>
          <w:p>
            <w:pPr>
              <w:spacing w:before="32" w:after="32" w:line="240" w:lineRule="auto"/>
              <w:jc w:val="right"/>
            </w:pPr>
            <w:r>
              <w:rPr>
                <w:b w:val="0"/>
                <w:color w:val="0B0B0B"/>
                <w:sz w:val="15"/>
              </w:rPr>
              <w:t>9,106</w:t>
            </w:r>
          </w:p>
        </w:tc>
        <w:tc>
          <w:tcPr>
            <w:tcW w:type="dxa" w:w="912"/>
          </w:tcPr>
          <w:p>
            <w:pPr>
              <w:spacing w:before="32" w:after="32" w:line="240" w:lineRule="auto"/>
              <w:jc w:val="right"/>
            </w:pPr>
            <w:r>
              <w:rPr>
                <w:b w:val="0"/>
                <w:color w:val="0B0B0B"/>
                <w:sz w:val="15"/>
              </w:rPr>
              <w:t>9,663</w:t>
            </w:r>
          </w:p>
        </w:tc>
        <w:tc>
          <w:tcPr>
            <w:tcW w:type="dxa" w:w="912"/>
          </w:tcPr>
          <w:p>
            <w:pPr>
              <w:spacing w:before="32" w:after="32" w:line="240" w:lineRule="auto"/>
              <w:jc w:val="right"/>
            </w:pPr>
            <w:r>
              <w:rPr>
                <w:b w:val="0"/>
                <w:color w:val="0B0B0B"/>
                <w:sz w:val="15"/>
              </w:rPr>
              <w:t>10,087</w:t>
            </w:r>
          </w:p>
        </w:tc>
      </w:tr>
    </w:tbl>
    <w:p>
      <w:pPr>
        <w:spacing w:before="40" w:after="120"/>
      </w:pPr>
      <w:r>
        <w:rPr>
          <w:b w:val="0"/>
          <w:i/>
          <w:color w:val="8A8880"/>
          <w:sz w:val="14"/>
        </w:rPr>
        <w:t>Source: analyst model. There is no raw-material line — fuel is the equivalent. Power and fuel are reported together in the accounts.</w:t>
      </w:r>
    </w:p>
    <w:p>
      <w:pPr>
        <w:spacing w:before="0" w:after="100"/>
      </w:pPr>
      <w:r>
        <w:rPr>
          <w:b w:val="0"/>
          <w:i w:val="0"/>
          <w:color w:val="0B0B0B"/>
          <w:sz w:val="17"/>
        </w:rPr>
        <w:t>Fixed versus variable, and the operating leverage that follows. Fuel is the only genuinely variable cost, and it is variable only with thermal volume: renewables and hydro have no fuel cost at all. Employee cost and other expenses — 3.9% and 12.9% of FY26A revenue — are substantially fixed per MW of installed capacity. That gives a cost structure that is roughly 63% fixed at the FY26A mix and heading to 75% fixed by FY30E as renewables take share. The practical consequence: a 10% shortfall in renewable generation flows through to EBITDA almost one-for-one, because there is no fuel cost to save; a 10% shortfall in thermal generation costs roughly half as much, because fuel falls with it. Operating leverage is asymmetric across the portfolio and it is getting more so.</w:t>
      </w:r>
    </w:p>
    <w:p>
      <w:pPr>
        <w:spacing w:before="0" w:after="100"/>
      </w:pPr>
      <w:r>
        <w:rPr>
          <w:b w:val="0"/>
          <w:i w:val="0"/>
          <w:color w:val="0B0B0B"/>
          <w:sz w:val="17"/>
        </w:rPr>
        <w:t>This section is what supports the margin claim made in Section 12 and in the thesis. Consolidated EBITDA margin rises from 53.2% in FY26A to 59.6% in FY30E, and the cost lines show why: fuel falls from 29.5% of revenue to 25.5% while employee cost and other expenses are broadly flat as a share. The margin expansion is a mix effect, not a cost-reduction programme, and it therefore requires no execution beyond commissioning the plants. Equally, it cannot be accelerated: there is no cost lever here.</w:t>
      </w:r>
    </w:p>
    <w:p>
      <w:pPr>
        <w:keepNext/>
        <w:spacing w:before="180" w:after="40"/>
      </w:pPr>
      <w:r>
        <w:rPr>
          <w:b/>
          <w:color w:val="1F3864"/>
          <w:sz w:val="21"/>
        </w:rPr>
        <w:t>17.  Return Ratios, Working Capital and Cash Flow</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2115"/>
        <w:gridCol w:w="898"/>
        <w:gridCol w:w="898"/>
        <w:gridCol w:w="898"/>
        <w:gridCol w:w="898"/>
        <w:gridCol w:w="898"/>
        <w:gridCol w:w="898"/>
        <w:gridCol w:w="898"/>
        <w:gridCol w:w="898"/>
        <w:gridCol w:w="898"/>
      </w:tblGrid>
      <w:tr>
        <w:tc>
          <w:tcPr>
            <w:tcW w:type="dxa" w:w="2115"/>
            <w:shd w:val="clear" w:color="auto" w:fill="1F3864"/>
          </w:tcPr>
          <w:p>
            <w:pPr>
              <w:spacing w:before="50" w:after="50"/>
              <w:jc w:val="left"/>
            </w:pPr>
            <w:r>
              <w:rPr>
                <w:b/>
                <w:color w:val="FFFFFF"/>
                <w:sz w:val="15"/>
              </w:rPr>
              <w:t>Rs. cr / ratio</w:t>
            </w:r>
          </w:p>
        </w:tc>
        <w:tc>
          <w:tcPr>
            <w:tcW w:type="dxa" w:w="899"/>
            <w:shd w:val="clear" w:color="auto" w:fill="1F3864"/>
          </w:tcPr>
          <w:p>
            <w:pPr>
              <w:spacing w:before="50" w:after="50"/>
              <w:jc w:val="right"/>
            </w:pPr>
            <w:r>
              <w:rPr>
                <w:b/>
                <w:color w:val="FFFFFF"/>
                <w:sz w:val="15"/>
              </w:rPr>
              <w:t>FY22A</w:t>
            </w:r>
          </w:p>
        </w:tc>
        <w:tc>
          <w:tcPr>
            <w:tcW w:type="dxa" w:w="899"/>
            <w:shd w:val="clear" w:color="auto" w:fill="1F3864"/>
          </w:tcPr>
          <w:p>
            <w:pPr>
              <w:spacing w:before="50" w:after="50"/>
              <w:jc w:val="right"/>
            </w:pPr>
            <w:r>
              <w:rPr>
                <w:b/>
                <w:color w:val="FFFFFF"/>
                <w:sz w:val="15"/>
              </w:rPr>
              <w:t>FY23A</w:t>
            </w:r>
          </w:p>
        </w:tc>
        <w:tc>
          <w:tcPr>
            <w:tcW w:type="dxa" w:w="899"/>
            <w:shd w:val="clear" w:color="auto" w:fill="1F3864"/>
          </w:tcPr>
          <w:p>
            <w:pPr>
              <w:spacing w:before="50" w:after="50"/>
              <w:jc w:val="right"/>
            </w:pPr>
            <w:r>
              <w:rPr>
                <w:b/>
                <w:color w:val="FFFFFF"/>
                <w:sz w:val="15"/>
              </w:rPr>
              <w:t>FY24A</w:t>
            </w:r>
          </w:p>
        </w:tc>
        <w:tc>
          <w:tcPr>
            <w:tcW w:type="dxa" w:w="899"/>
            <w:shd w:val="clear" w:color="auto" w:fill="1F3864"/>
          </w:tcPr>
          <w:p>
            <w:pPr>
              <w:spacing w:before="50" w:after="50"/>
              <w:jc w:val="right"/>
            </w:pPr>
            <w:r>
              <w:rPr>
                <w:b/>
                <w:color w:val="FFFFFF"/>
                <w:sz w:val="15"/>
              </w:rPr>
              <w:t>FY25A</w:t>
            </w:r>
          </w:p>
        </w:tc>
        <w:tc>
          <w:tcPr>
            <w:tcW w:type="dxa" w:w="899"/>
            <w:shd w:val="clear" w:color="auto" w:fill="1F3864"/>
          </w:tcPr>
          <w:p>
            <w:pPr>
              <w:spacing w:before="50" w:after="50"/>
              <w:jc w:val="right"/>
            </w:pPr>
            <w:r>
              <w:rPr>
                <w:b/>
                <w:color w:val="FFFFFF"/>
                <w:sz w:val="15"/>
              </w:rPr>
              <w:t>FY26A</w:t>
            </w:r>
          </w:p>
        </w:tc>
        <w:tc>
          <w:tcPr>
            <w:tcW w:type="dxa" w:w="899"/>
            <w:shd w:val="clear" w:color="auto" w:fill="1F3864"/>
          </w:tcPr>
          <w:p>
            <w:pPr>
              <w:spacing w:before="50" w:after="50"/>
              <w:jc w:val="right"/>
            </w:pPr>
            <w:r>
              <w:rPr>
                <w:b/>
                <w:color w:val="FFFFFF"/>
                <w:sz w:val="15"/>
              </w:rPr>
              <w:t>FY27E</w:t>
            </w:r>
          </w:p>
        </w:tc>
        <w:tc>
          <w:tcPr>
            <w:tcW w:type="dxa" w:w="899"/>
            <w:shd w:val="clear" w:color="auto" w:fill="1F3864"/>
          </w:tcPr>
          <w:p>
            <w:pPr>
              <w:spacing w:before="50" w:after="50"/>
              <w:jc w:val="right"/>
            </w:pPr>
            <w:r>
              <w:rPr>
                <w:b/>
                <w:color w:val="FFFFFF"/>
                <w:sz w:val="15"/>
              </w:rPr>
              <w:t>FY28E</w:t>
            </w:r>
          </w:p>
        </w:tc>
        <w:tc>
          <w:tcPr>
            <w:tcW w:type="dxa" w:w="899"/>
            <w:shd w:val="clear" w:color="auto" w:fill="1F3864"/>
          </w:tcPr>
          <w:p>
            <w:pPr>
              <w:spacing w:before="50" w:after="50"/>
              <w:jc w:val="right"/>
            </w:pPr>
            <w:r>
              <w:rPr>
                <w:b/>
                <w:color w:val="FFFFFF"/>
                <w:sz w:val="15"/>
              </w:rPr>
              <w:t>FY29E</w:t>
            </w:r>
          </w:p>
        </w:tc>
        <w:tc>
          <w:tcPr>
            <w:tcW w:type="dxa" w:w="899"/>
            <w:shd w:val="clear" w:color="auto" w:fill="1F3864"/>
          </w:tcPr>
          <w:p>
            <w:pPr>
              <w:spacing w:before="50" w:after="50"/>
              <w:jc w:val="right"/>
            </w:pPr>
            <w:r>
              <w:rPr>
                <w:b/>
                <w:color w:val="FFFFFF"/>
                <w:sz w:val="15"/>
              </w:rPr>
              <w:t>FY30E</w:t>
            </w:r>
          </w:p>
        </w:tc>
      </w:tr>
      <w:tr>
        <w:tc>
          <w:tcPr>
            <w:tcW w:type="dxa" w:w="2115"/>
          </w:tcPr>
          <w:p>
            <w:pPr>
              <w:spacing w:before="32" w:after="32" w:line="240" w:lineRule="auto"/>
              <w:jc w:val="left"/>
            </w:pPr>
            <w:r>
              <w:rPr>
                <w:b w:val="0"/>
                <w:color w:val="0B0B0B"/>
                <w:sz w:val="15"/>
              </w:rPr>
              <w:t>ROE</w:t>
            </w:r>
          </w:p>
        </w:tc>
        <w:tc>
          <w:tcPr>
            <w:tcW w:type="dxa" w:w="899"/>
          </w:tcPr>
          <w:p>
            <w:pPr>
              <w:spacing w:before="32" w:after="32" w:line="240" w:lineRule="auto"/>
              <w:jc w:val="right"/>
            </w:pPr>
            <w:r>
              <w:rPr>
                <w:b w:val="0"/>
                <w:color w:val="0B0B0B"/>
                <w:sz w:val="15"/>
              </w:rPr>
              <w:t>10.8%</w:t>
            </w:r>
          </w:p>
        </w:tc>
        <w:tc>
          <w:tcPr>
            <w:tcW w:type="dxa" w:w="899"/>
          </w:tcPr>
          <w:p>
            <w:pPr>
              <w:spacing w:before="32" w:after="32" w:line="240" w:lineRule="auto"/>
              <w:jc w:val="right"/>
            </w:pPr>
            <w:r>
              <w:rPr>
                <w:b w:val="0"/>
                <w:color w:val="0B0B0B"/>
                <w:sz w:val="15"/>
              </w:rPr>
              <w:t>7.5%</w:t>
            </w:r>
          </w:p>
        </w:tc>
        <w:tc>
          <w:tcPr>
            <w:tcW w:type="dxa" w:w="899"/>
          </w:tcPr>
          <w:p>
            <w:pPr>
              <w:spacing w:before="32" w:after="32" w:line="240" w:lineRule="auto"/>
              <w:jc w:val="right"/>
            </w:pPr>
            <w:r>
              <w:rPr>
                <w:b w:val="0"/>
                <w:color w:val="0B0B0B"/>
                <w:sz w:val="15"/>
              </w:rPr>
              <w:t>8.7%</w:t>
            </w:r>
          </w:p>
        </w:tc>
        <w:tc>
          <w:tcPr>
            <w:tcW w:type="dxa" w:w="899"/>
          </w:tcPr>
          <w:p>
            <w:pPr>
              <w:spacing w:before="32" w:after="32" w:line="240" w:lineRule="auto"/>
              <w:jc w:val="right"/>
            </w:pPr>
            <w:r>
              <w:rPr>
                <w:b w:val="0"/>
                <w:color w:val="0B0B0B"/>
                <w:sz w:val="15"/>
              </w:rPr>
              <w:t>8.1%</w:t>
            </w:r>
          </w:p>
        </w:tc>
        <w:tc>
          <w:tcPr>
            <w:tcW w:type="dxa" w:w="899"/>
          </w:tcPr>
          <w:p>
            <w:pPr>
              <w:spacing w:before="32" w:after="32" w:line="240" w:lineRule="auto"/>
              <w:jc w:val="right"/>
            </w:pPr>
            <w:r>
              <w:rPr>
                <w:b w:val="0"/>
                <w:color w:val="0B0B0B"/>
                <w:sz w:val="15"/>
              </w:rPr>
              <w:t>7.9%</w:t>
            </w:r>
          </w:p>
        </w:tc>
        <w:tc>
          <w:tcPr>
            <w:tcW w:type="dxa" w:w="899"/>
          </w:tcPr>
          <w:p>
            <w:pPr>
              <w:spacing w:before="32" w:after="32" w:line="240" w:lineRule="auto"/>
              <w:jc w:val="right"/>
            </w:pPr>
            <w:r>
              <w:rPr>
                <w:b w:val="0"/>
                <w:color w:val="0B0B0B"/>
                <w:sz w:val="15"/>
              </w:rPr>
              <w:t>8.3%</w:t>
            </w:r>
          </w:p>
        </w:tc>
        <w:tc>
          <w:tcPr>
            <w:tcW w:type="dxa" w:w="899"/>
          </w:tcPr>
          <w:p>
            <w:pPr>
              <w:spacing w:before="32" w:after="32" w:line="240" w:lineRule="auto"/>
              <w:jc w:val="right"/>
            </w:pPr>
            <w:r>
              <w:rPr>
                <w:b w:val="0"/>
                <w:color w:val="0B0B0B"/>
                <w:sz w:val="15"/>
              </w:rPr>
              <w:t>9.1%</w:t>
            </w:r>
          </w:p>
        </w:tc>
        <w:tc>
          <w:tcPr>
            <w:tcW w:type="dxa" w:w="899"/>
          </w:tcPr>
          <w:p>
            <w:pPr>
              <w:spacing w:before="32" w:after="32" w:line="240" w:lineRule="auto"/>
              <w:jc w:val="right"/>
            </w:pPr>
            <w:r>
              <w:rPr>
                <w:b w:val="0"/>
                <w:color w:val="0B0B0B"/>
                <w:sz w:val="15"/>
              </w:rPr>
              <w:t>10.6%</w:t>
            </w:r>
          </w:p>
        </w:tc>
        <w:tc>
          <w:tcPr>
            <w:tcW w:type="dxa" w:w="899"/>
          </w:tcPr>
          <w:p>
            <w:pPr>
              <w:spacing w:before="32" w:after="32" w:line="240" w:lineRule="auto"/>
              <w:jc w:val="right"/>
            </w:pPr>
            <w:r>
              <w:rPr>
                <w:b w:val="0"/>
                <w:color w:val="0B0B0B"/>
                <w:sz w:val="15"/>
              </w:rPr>
              <w:t>11.8%</w:t>
            </w:r>
          </w:p>
        </w:tc>
      </w:tr>
      <w:tr>
        <w:tc>
          <w:tcPr>
            <w:tcW w:type="dxa" w:w="2115"/>
            <w:shd w:val="clear" w:color="auto" w:fill="EEF3FA"/>
          </w:tcPr>
          <w:p>
            <w:pPr>
              <w:spacing w:before="32" w:after="32" w:line="240" w:lineRule="auto"/>
              <w:jc w:val="left"/>
            </w:pPr>
            <w:r>
              <w:rPr>
                <w:b w:val="0"/>
                <w:color w:val="0B0B0B"/>
                <w:sz w:val="15"/>
              </w:rPr>
              <w:t>ROCE (post-tax)</w:t>
            </w:r>
          </w:p>
        </w:tc>
        <w:tc>
          <w:tcPr>
            <w:tcW w:type="dxa" w:w="899"/>
            <w:shd w:val="clear" w:color="auto" w:fill="EEF3FA"/>
          </w:tcPr>
          <w:p>
            <w:pPr>
              <w:spacing w:before="32" w:after="32" w:line="240" w:lineRule="auto"/>
              <w:jc w:val="right"/>
            </w:pPr>
            <w:r>
              <w:rPr>
                <w:b w:val="0"/>
                <w:color w:val="0B0B0B"/>
                <w:sz w:val="15"/>
              </w:rPr>
              <w:t>7.1%</w:t>
            </w:r>
          </w:p>
        </w:tc>
        <w:tc>
          <w:tcPr>
            <w:tcW w:type="dxa" w:w="899"/>
            <w:shd w:val="clear" w:color="auto" w:fill="EEF3FA"/>
          </w:tcPr>
          <w:p>
            <w:pPr>
              <w:spacing w:before="32" w:after="32" w:line="240" w:lineRule="auto"/>
              <w:jc w:val="right"/>
            </w:pPr>
            <w:r>
              <w:rPr>
                <w:b w:val="0"/>
                <w:color w:val="0B0B0B"/>
                <w:sz w:val="15"/>
              </w:rPr>
              <w:t>4.3%</w:t>
            </w:r>
          </w:p>
        </w:tc>
        <w:tc>
          <w:tcPr>
            <w:tcW w:type="dxa" w:w="899"/>
            <w:shd w:val="clear" w:color="auto" w:fill="EEF3FA"/>
          </w:tcPr>
          <w:p>
            <w:pPr>
              <w:spacing w:before="32" w:after="32" w:line="240" w:lineRule="auto"/>
              <w:jc w:val="right"/>
            </w:pPr>
            <w:r>
              <w:rPr>
                <w:b w:val="0"/>
                <w:color w:val="0B0B0B"/>
                <w:sz w:val="15"/>
              </w:rPr>
              <w:t>6.2%</w:t>
            </w:r>
          </w:p>
        </w:tc>
        <w:tc>
          <w:tcPr>
            <w:tcW w:type="dxa" w:w="899"/>
            <w:shd w:val="clear" w:color="auto" w:fill="EEF3FA"/>
          </w:tcPr>
          <w:p>
            <w:pPr>
              <w:spacing w:before="32" w:after="32" w:line="240" w:lineRule="auto"/>
              <w:jc w:val="right"/>
            </w:pPr>
            <w:r>
              <w:rPr>
                <w:b w:val="0"/>
                <w:color w:val="0B0B0B"/>
                <w:sz w:val="15"/>
              </w:rPr>
              <w:t>4.2%</w:t>
            </w:r>
          </w:p>
        </w:tc>
        <w:tc>
          <w:tcPr>
            <w:tcW w:type="dxa" w:w="899"/>
            <w:shd w:val="clear" w:color="auto" w:fill="EEF3FA"/>
          </w:tcPr>
          <w:p>
            <w:pPr>
              <w:spacing w:before="32" w:after="32" w:line="240" w:lineRule="auto"/>
              <w:jc w:val="right"/>
            </w:pPr>
            <w:r>
              <w:rPr>
                <w:b w:val="0"/>
                <w:color w:val="0B0B0B"/>
                <w:sz w:val="15"/>
              </w:rPr>
              <w:t>6.4%</w:t>
            </w:r>
          </w:p>
        </w:tc>
        <w:tc>
          <w:tcPr>
            <w:tcW w:type="dxa" w:w="899"/>
            <w:shd w:val="clear" w:color="auto" w:fill="EEF3FA"/>
          </w:tcPr>
          <w:p>
            <w:pPr>
              <w:spacing w:before="32" w:after="32" w:line="240" w:lineRule="auto"/>
              <w:jc w:val="right"/>
            </w:pPr>
            <w:r>
              <w:rPr>
                <w:b w:val="0"/>
                <w:color w:val="0B0B0B"/>
                <w:sz w:val="15"/>
              </w:rPr>
              <w:t>6.3%</w:t>
            </w:r>
          </w:p>
        </w:tc>
        <w:tc>
          <w:tcPr>
            <w:tcW w:type="dxa" w:w="899"/>
            <w:shd w:val="clear" w:color="auto" w:fill="EEF3FA"/>
          </w:tcPr>
          <w:p>
            <w:pPr>
              <w:spacing w:before="32" w:after="32" w:line="240" w:lineRule="auto"/>
              <w:jc w:val="right"/>
            </w:pPr>
            <w:r>
              <w:rPr>
                <w:b w:val="0"/>
                <w:color w:val="0B0B0B"/>
                <w:sz w:val="15"/>
              </w:rPr>
              <w:t>7.3%</w:t>
            </w:r>
          </w:p>
        </w:tc>
        <w:tc>
          <w:tcPr>
            <w:tcW w:type="dxa" w:w="899"/>
            <w:shd w:val="clear" w:color="auto" w:fill="EEF3FA"/>
          </w:tcPr>
          <w:p>
            <w:pPr>
              <w:spacing w:before="32" w:after="32" w:line="240" w:lineRule="auto"/>
              <w:jc w:val="right"/>
            </w:pPr>
            <w:r>
              <w:rPr>
                <w:b w:val="0"/>
                <w:color w:val="0B0B0B"/>
                <w:sz w:val="15"/>
              </w:rPr>
              <w:t>8.3%</w:t>
            </w:r>
          </w:p>
        </w:tc>
        <w:tc>
          <w:tcPr>
            <w:tcW w:type="dxa" w:w="899"/>
            <w:shd w:val="clear" w:color="auto" w:fill="EEF3FA"/>
          </w:tcPr>
          <w:p>
            <w:pPr>
              <w:spacing w:before="32" w:after="32" w:line="240" w:lineRule="auto"/>
              <w:jc w:val="right"/>
            </w:pPr>
            <w:r>
              <w:rPr>
                <w:b w:val="0"/>
                <w:color w:val="0B0B0B"/>
                <w:sz w:val="15"/>
              </w:rPr>
              <w:t>8.8%</w:t>
            </w:r>
          </w:p>
        </w:tc>
      </w:tr>
      <w:tr>
        <w:tc>
          <w:tcPr>
            <w:tcW w:type="dxa" w:w="2115"/>
          </w:tcPr>
          <w:p>
            <w:pPr>
              <w:spacing w:before="32" w:after="32" w:line="240" w:lineRule="auto"/>
              <w:jc w:val="left"/>
            </w:pPr>
            <w:r>
              <w:rPr>
                <w:b w:val="0"/>
                <w:color w:val="0B0B0B"/>
                <w:sz w:val="15"/>
              </w:rPr>
              <w:t>ROCE (pre-tax)</w:t>
            </w:r>
          </w:p>
        </w:tc>
        <w:tc>
          <w:tcPr>
            <w:tcW w:type="dxa" w:w="899"/>
          </w:tcPr>
          <w:p>
            <w:pPr>
              <w:spacing w:before="32" w:after="32" w:line="240" w:lineRule="auto"/>
              <w:jc w:val="right"/>
            </w:pPr>
            <w:r>
              <w:rPr>
                <w:b w:val="0"/>
                <w:color w:val="0B0B0B"/>
                <w:sz w:val="15"/>
              </w:rPr>
              <w:t>11.1%</w:t>
            </w:r>
          </w:p>
        </w:tc>
        <w:tc>
          <w:tcPr>
            <w:tcW w:type="dxa" w:w="899"/>
          </w:tcPr>
          <w:p>
            <w:pPr>
              <w:spacing w:before="32" w:after="32" w:line="240" w:lineRule="auto"/>
              <w:jc w:val="right"/>
            </w:pPr>
            <w:r>
              <w:rPr>
                <w:b w:val="0"/>
                <w:color w:val="0B0B0B"/>
                <w:sz w:val="15"/>
              </w:rPr>
              <w:t>6.0%</w:t>
            </w:r>
          </w:p>
        </w:tc>
        <w:tc>
          <w:tcPr>
            <w:tcW w:type="dxa" w:w="899"/>
          </w:tcPr>
          <w:p>
            <w:pPr>
              <w:spacing w:before="32" w:after="32" w:line="240" w:lineRule="auto"/>
              <w:jc w:val="right"/>
            </w:pPr>
            <w:r>
              <w:rPr>
                <w:b w:val="0"/>
                <w:color w:val="0B0B0B"/>
                <w:sz w:val="15"/>
              </w:rPr>
              <w:t>7.9%</w:t>
            </w:r>
          </w:p>
        </w:tc>
        <w:tc>
          <w:tcPr>
            <w:tcW w:type="dxa" w:w="899"/>
          </w:tcPr>
          <w:p>
            <w:pPr>
              <w:spacing w:before="32" w:after="32" w:line="240" w:lineRule="auto"/>
              <w:jc w:val="right"/>
            </w:pPr>
            <w:r>
              <w:rPr>
                <w:b w:val="0"/>
                <w:color w:val="0B0B0B"/>
                <w:sz w:val="15"/>
              </w:rPr>
              <w:t>5.6%</w:t>
            </w:r>
          </w:p>
        </w:tc>
        <w:tc>
          <w:tcPr>
            <w:tcW w:type="dxa" w:w="899"/>
          </w:tcPr>
          <w:p>
            <w:pPr>
              <w:spacing w:before="32" w:after="32" w:line="240" w:lineRule="auto"/>
              <w:jc w:val="right"/>
            </w:pPr>
            <w:r>
              <w:rPr>
                <w:b w:val="0"/>
                <w:color w:val="0B0B0B"/>
                <w:sz w:val="15"/>
              </w:rPr>
              <w:t>7.2%</w:t>
            </w:r>
          </w:p>
        </w:tc>
        <w:tc>
          <w:tcPr>
            <w:tcW w:type="dxa" w:w="899"/>
          </w:tcPr>
          <w:p>
            <w:pPr>
              <w:spacing w:before="32" w:after="32" w:line="240" w:lineRule="auto"/>
              <w:jc w:val="right"/>
            </w:pPr>
            <w:r>
              <w:rPr>
                <w:b w:val="0"/>
                <w:color w:val="0B0B0B"/>
                <w:sz w:val="15"/>
              </w:rPr>
              <w:t>8.2%</w:t>
            </w:r>
          </w:p>
        </w:tc>
        <w:tc>
          <w:tcPr>
            <w:tcW w:type="dxa" w:w="899"/>
          </w:tcPr>
          <w:p>
            <w:pPr>
              <w:spacing w:before="32" w:after="32" w:line="240" w:lineRule="auto"/>
              <w:jc w:val="right"/>
            </w:pPr>
            <w:r>
              <w:rPr>
                <w:b w:val="0"/>
                <w:color w:val="0B0B0B"/>
                <w:sz w:val="15"/>
              </w:rPr>
              <w:t>8.8%</w:t>
            </w:r>
          </w:p>
        </w:tc>
        <w:tc>
          <w:tcPr>
            <w:tcW w:type="dxa" w:w="899"/>
          </w:tcPr>
          <w:p>
            <w:pPr>
              <w:spacing w:before="32" w:after="32" w:line="240" w:lineRule="auto"/>
              <w:jc w:val="right"/>
            </w:pPr>
            <w:r>
              <w:rPr>
                <w:b w:val="0"/>
                <w:color w:val="0B0B0B"/>
                <w:sz w:val="15"/>
              </w:rPr>
              <w:t>9.9%</w:t>
            </w:r>
          </w:p>
        </w:tc>
        <w:tc>
          <w:tcPr>
            <w:tcW w:type="dxa" w:w="899"/>
          </w:tcPr>
          <w:p>
            <w:pPr>
              <w:spacing w:before="32" w:after="32" w:line="240" w:lineRule="auto"/>
              <w:jc w:val="right"/>
            </w:pPr>
            <w:r>
              <w:rPr>
                <w:b w:val="0"/>
                <w:color w:val="0B0B0B"/>
                <w:sz w:val="15"/>
              </w:rPr>
              <w:t>10.4%</w:t>
            </w:r>
          </w:p>
        </w:tc>
      </w:tr>
      <w:tr>
        <w:tc>
          <w:tcPr>
            <w:tcW w:type="dxa" w:w="2115"/>
            <w:shd w:val="clear" w:color="auto" w:fill="EEF3FA"/>
          </w:tcPr>
          <w:p>
            <w:pPr>
              <w:spacing w:before="32" w:after="32" w:line="240" w:lineRule="auto"/>
              <w:jc w:val="left"/>
            </w:pPr>
            <w:r>
              <w:rPr>
                <w:b w:val="0"/>
                <w:color w:val="0B0B0B"/>
                <w:sz w:val="15"/>
              </w:rPr>
              <w:t>Operating cash flow (post-tax)</w:t>
            </w:r>
          </w:p>
        </w:tc>
        <w:tc>
          <w:tcPr>
            <w:tcW w:type="dxa" w:w="899"/>
            <w:shd w:val="clear" w:color="auto" w:fill="EEF3FA"/>
          </w:tcPr>
          <w:p>
            <w:pPr>
              <w:spacing w:before="32" w:after="32" w:line="240" w:lineRule="auto"/>
              <w:jc w:val="right"/>
            </w:pPr>
            <w:r>
              <w:rPr>
                <w:b w:val="0"/>
                <w:color w:val="0B0B0B"/>
                <w:sz w:val="15"/>
              </w:rPr>
              <w:t>2,952</w:t>
            </w:r>
          </w:p>
        </w:tc>
        <w:tc>
          <w:tcPr>
            <w:tcW w:type="dxa" w:w="899"/>
            <w:shd w:val="clear" w:color="auto" w:fill="EEF3FA"/>
          </w:tcPr>
          <w:p>
            <w:pPr>
              <w:spacing w:before="32" w:after="32" w:line="240" w:lineRule="auto"/>
              <w:jc w:val="right"/>
            </w:pPr>
            <w:r>
              <w:rPr>
                <w:b w:val="0"/>
                <w:color w:val="0B0B0B"/>
                <w:sz w:val="15"/>
              </w:rPr>
              <w:t>2,084</w:t>
            </w:r>
          </w:p>
        </w:tc>
        <w:tc>
          <w:tcPr>
            <w:tcW w:type="dxa" w:w="899"/>
            <w:shd w:val="clear" w:color="auto" w:fill="EEF3FA"/>
          </w:tcPr>
          <w:p>
            <w:pPr>
              <w:spacing w:before="32" w:after="32" w:line="240" w:lineRule="auto"/>
              <w:jc w:val="right"/>
            </w:pPr>
            <w:r>
              <w:rPr>
                <w:b w:val="0"/>
                <w:color w:val="0B0B0B"/>
                <w:sz w:val="15"/>
              </w:rPr>
              <w:t>6,234</w:t>
            </w:r>
          </w:p>
        </w:tc>
        <w:tc>
          <w:tcPr>
            <w:tcW w:type="dxa" w:w="899"/>
            <w:shd w:val="clear" w:color="auto" w:fill="EEF3FA"/>
          </w:tcPr>
          <w:p>
            <w:pPr>
              <w:spacing w:before="32" w:after="32" w:line="240" w:lineRule="auto"/>
              <w:jc w:val="right"/>
            </w:pPr>
            <w:r>
              <w:rPr>
                <w:b w:val="0"/>
                <w:color w:val="0B0B0B"/>
                <w:sz w:val="15"/>
              </w:rPr>
              <w:t>3,838</w:t>
            </w:r>
          </w:p>
        </w:tc>
        <w:tc>
          <w:tcPr>
            <w:tcW w:type="dxa" w:w="899"/>
            <w:shd w:val="clear" w:color="auto" w:fill="EEF3FA"/>
          </w:tcPr>
          <w:p>
            <w:pPr>
              <w:spacing w:before="32" w:after="32" w:line="240" w:lineRule="auto"/>
              <w:jc w:val="right"/>
            </w:pPr>
            <w:r>
              <w:rPr>
                <w:b w:val="0"/>
                <w:color w:val="0B0B0B"/>
                <w:sz w:val="15"/>
              </w:rPr>
              <w:t>9,898</w:t>
            </w:r>
          </w:p>
        </w:tc>
        <w:tc>
          <w:tcPr>
            <w:tcW w:type="dxa" w:w="899"/>
            <w:shd w:val="clear" w:color="auto" w:fill="EEF3FA"/>
          </w:tcPr>
          <w:p>
            <w:pPr>
              <w:spacing w:before="32" w:after="32" w:line="240" w:lineRule="auto"/>
              <w:jc w:val="right"/>
            </w:pPr>
            <w:r>
              <w:rPr>
                <w:b w:val="0"/>
                <w:color w:val="0B0B0B"/>
                <w:sz w:val="15"/>
              </w:rPr>
              <w:t>12,720</w:t>
            </w:r>
          </w:p>
        </w:tc>
        <w:tc>
          <w:tcPr>
            <w:tcW w:type="dxa" w:w="899"/>
            <w:shd w:val="clear" w:color="auto" w:fill="EEF3FA"/>
          </w:tcPr>
          <w:p>
            <w:pPr>
              <w:spacing w:before="32" w:after="32" w:line="240" w:lineRule="auto"/>
              <w:jc w:val="right"/>
            </w:pPr>
            <w:r>
              <w:rPr>
                <w:b w:val="0"/>
                <w:color w:val="0B0B0B"/>
                <w:sz w:val="15"/>
              </w:rPr>
              <w:t>16,319</w:t>
            </w:r>
          </w:p>
        </w:tc>
        <w:tc>
          <w:tcPr>
            <w:tcW w:type="dxa" w:w="899"/>
            <w:shd w:val="clear" w:color="auto" w:fill="EEF3FA"/>
          </w:tcPr>
          <w:p>
            <w:pPr>
              <w:spacing w:before="32" w:after="32" w:line="240" w:lineRule="auto"/>
              <w:jc w:val="right"/>
            </w:pPr>
            <w:r>
              <w:rPr>
                <w:b w:val="0"/>
                <w:color w:val="0B0B0B"/>
                <w:sz w:val="15"/>
              </w:rPr>
              <w:t>19,486</w:t>
            </w:r>
          </w:p>
        </w:tc>
        <w:tc>
          <w:tcPr>
            <w:tcW w:type="dxa" w:w="899"/>
            <w:shd w:val="clear" w:color="auto" w:fill="EEF3FA"/>
          </w:tcPr>
          <w:p>
            <w:pPr>
              <w:spacing w:before="32" w:after="32" w:line="240" w:lineRule="auto"/>
              <w:jc w:val="right"/>
            </w:pPr>
            <w:r>
              <w:rPr>
                <w:b w:val="0"/>
                <w:color w:val="0B0B0B"/>
                <w:sz w:val="15"/>
              </w:rPr>
              <w:t>21,902</w:t>
            </w:r>
          </w:p>
        </w:tc>
      </w:tr>
      <w:tr>
        <w:tc>
          <w:tcPr>
            <w:tcW w:type="dxa" w:w="2115"/>
          </w:tcPr>
          <w:p>
            <w:pPr>
              <w:spacing w:before="32" w:after="32" w:line="240" w:lineRule="auto"/>
              <w:jc w:val="left"/>
            </w:pPr>
            <w:r>
              <w:rPr>
                <w:b w:val="0"/>
                <w:color w:val="0B0B0B"/>
                <w:sz w:val="15"/>
              </w:rPr>
              <w:t>Capex</w:t>
            </w:r>
          </w:p>
        </w:tc>
        <w:tc>
          <w:tcPr>
            <w:tcW w:type="dxa" w:w="899"/>
          </w:tcPr>
          <w:p>
            <w:pPr>
              <w:spacing w:before="32" w:after="32" w:line="240" w:lineRule="auto"/>
              <w:jc w:val="right"/>
            </w:pPr>
            <w:r>
              <w:rPr>
                <w:b w:val="0"/>
                <w:color w:val="0B0B0B"/>
                <w:sz w:val="15"/>
              </w:rPr>
              <w:t>-2,294</w:t>
            </w:r>
          </w:p>
        </w:tc>
        <w:tc>
          <w:tcPr>
            <w:tcW w:type="dxa" w:w="899"/>
          </w:tcPr>
          <w:p>
            <w:pPr>
              <w:spacing w:before="32" w:after="32" w:line="240" w:lineRule="auto"/>
              <w:jc w:val="right"/>
            </w:pPr>
            <w:r>
              <w:rPr>
                <w:b w:val="0"/>
                <w:color w:val="0B0B0B"/>
                <w:sz w:val="15"/>
              </w:rPr>
              <w:t>-4,237</w:t>
            </w:r>
          </w:p>
        </w:tc>
        <w:tc>
          <w:tcPr>
            <w:tcW w:type="dxa" w:w="899"/>
          </w:tcPr>
          <w:p>
            <w:pPr>
              <w:spacing w:before="32" w:after="32" w:line="240" w:lineRule="auto"/>
              <w:jc w:val="right"/>
            </w:pPr>
            <w:r>
              <w:rPr>
                <w:b w:val="0"/>
                <w:color w:val="0B0B0B"/>
                <w:sz w:val="15"/>
              </w:rPr>
              <w:t>-8,032</w:t>
            </w:r>
          </w:p>
        </w:tc>
        <w:tc>
          <w:tcPr>
            <w:tcW w:type="dxa" w:w="899"/>
          </w:tcPr>
          <w:p>
            <w:pPr>
              <w:spacing w:before="32" w:after="32" w:line="240" w:lineRule="auto"/>
              <w:jc w:val="right"/>
            </w:pPr>
            <w:r>
              <w:rPr>
                <w:b w:val="0"/>
                <w:color w:val="0B0B0B"/>
                <w:sz w:val="15"/>
              </w:rPr>
              <w:t>-6,707</w:t>
            </w:r>
          </w:p>
        </w:tc>
        <w:tc>
          <w:tcPr>
            <w:tcW w:type="dxa" w:w="899"/>
          </w:tcPr>
          <w:p>
            <w:pPr>
              <w:spacing w:before="32" w:after="32" w:line="240" w:lineRule="auto"/>
              <w:jc w:val="right"/>
            </w:pPr>
            <w:r>
              <w:rPr>
                <w:b w:val="0"/>
                <w:color w:val="0B0B0B"/>
                <w:sz w:val="15"/>
              </w:rPr>
              <w:t>-10,112</w:t>
            </w:r>
          </w:p>
        </w:tc>
        <w:tc>
          <w:tcPr>
            <w:tcW w:type="dxa" w:w="899"/>
          </w:tcPr>
          <w:p>
            <w:pPr>
              <w:spacing w:before="32" w:after="32" w:line="240" w:lineRule="auto"/>
              <w:jc w:val="right"/>
            </w:pPr>
            <w:r>
              <w:rPr>
                <w:b w:val="0"/>
                <w:color w:val="0B0B0B"/>
                <w:sz w:val="15"/>
              </w:rPr>
              <w:t>-21,229</w:t>
            </w:r>
          </w:p>
        </w:tc>
        <w:tc>
          <w:tcPr>
            <w:tcW w:type="dxa" w:w="899"/>
          </w:tcPr>
          <w:p>
            <w:pPr>
              <w:spacing w:before="32" w:after="32" w:line="240" w:lineRule="auto"/>
              <w:jc w:val="right"/>
            </w:pPr>
            <w:r>
              <w:rPr>
                <w:b w:val="0"/>
                <w:color w:val="0B0B0B"/>
                <w:sz w:val="15"/>
              </w:rPr>
              <w:t>-21,864</w:t>
            </w:r>
          </w:p>
        </w:tc>
        <w:tc>
          <w:tcPr>
            <w:tcW w:type="dxa" w:w="899"/>
          </w:tcPr>
          <w:p>
            <w:pPr>
              <w:spacing w:before="32" w:after="32" w:line="240" w:lineRule="auto"/>
              <w:jc w:val="right"/>
            </w:pPr>
            <w:r>
              <w:rPr>
                <w:b w:val="0"/>
                <w:color w:val="0B0B0B"/>
                <w:sz w:val="15"/>
              </w:rPr>
              <w:t>-21,656</w:t>
            </w:r>
          </w:p>
        </w:tc>
        <w:tc>
          <w:tcPr>
            <w:tcW w:type="dxa" w:w="899"/>
          </w:tcPr>
          <w:p>
            <w:pPr>
              <w:spacing w:before="32" w:after="32" w:line="240" w:lineRule="auto"/>
              <w:jc w:val="right"/>
            </w:pPr>
            <w:r>
              <w:rPr>
                <w:b w:val="0"/>
                <w:color w:val="0B0B0B"/>
                <w:sz w:val="15"/>
              </w:rPr>
              <w:t>-24,816</w:t>
            </w:r>
          </w:p>
        </w:tc>
      </w:tr>
      <w:tr>
        <w:tc>
          <w:tcPr>
            <w:tcW w:type="dxa" w:w="2115"/>
            <w:shd w:val="clear" w:color="auto" w:fill="EEF3FA"/>
          </w:tcPr>
          <w:p>
            <w:pPr>
              <w:spacing w:before="32" w:after="32" w:line="240" w:lineRule="auto"/>
              <w:jc w:val="left"/>
            </w:pPr>
            <w:r>
              <w:rPr>
                <w:b/>
                <w:color w:val="0B0B0B"/>
                <w:sz w:val="15"/>
              </w:rPr>
              <w:t>Free cash flow</w:t>
            </w:r>
          </w:p>
        </w:tc>
        <w:tc>
          <w:tcPr>
            <w:tcW w:type="dxa" w:w="899"/>
            <w:shd w:val="clear" w:color="auto" w:fill="EEF3FA"/>
          </w:tcPr>
          <w:p>
            <w:pPr>
              <w:spacing w:before="32" w:after="32" w:line="240" w:lineRule="auto"/>
              <w:jc w:val="right"/>
            </w:pPr>
            <w:r>
              <w:rPr>
                <w:b/>
                <w:color w:val="0B0B0B"/>
                <w:sz w:val="15"/>
              </w:rPr>
              <w:t>659</w:t>
            </w:r>
          </w:p>
        </w:tc>
        <w:tc>
          <w:tcPr>
            <w:tcW w:type="dxa" w:w="899"/>
            <w:shd w:val="clear" w:color="auto" w:fill="EEF3FA"/>
          </w:tcPr>
          <w:p>
            <w:pPr>
              <w:spacing w:before="32" w:after="32" w:line="240" w:lineRule="auto"/>
              <w:jc w:val="right"/>
            </w:pPr>
            <w:r>
              <w:rPr>
                <w:b/>
                <w:color w:val="0B0B0B"/>
                <w:sz w:val="15"/>
              </w:rPr>
              <w:t>-2,152</w:t>
            </w:r>
          </w:p>
        </w:tc>
        <w:tc>
          <w:tcPr>
            <w:tcW w:type="dxa" w:w="899"/>
            <w:shd w:val="clear" w:color="auto" w:fill="EEF3FA"/>
          </w:tcPr>
          <w:p>
            <w:pPr>
              <w:spacing w:before="32" w:after="32" w:line="240" w:lineRule="auto"/>
              <w:jc w:val="right"/>
            </w:pPr>
            <w:r>
              <w:rPr>
                <w:b/>
                <w:color w:val="0B0B0B"/>
                <w:sz w:val="15"/>
              </w:rPr>
              <w:t>-1,798</w:t>
            </w:r>
          </w:p>
        </w:tc>
        <w:tc>
          <w:tcPr>
            <w:tcW w:type="dxa" w:w="899"/>
            <w:shd w:val="clear" w:color="auto" w:fill="EEF3FA"/>
          </w:tcPr>
          <w:p>
            <w:pPr>
              <w:spacing w:before="32" w:after="32" w:line="240" w:lineRule="auto"/>
              <w:jc w:val="right"/>
            </w:pPr>
            <w:r>
              <w:rPr>
                <w:b/>
                <w:color w:val="0B0B0B"/>
                <w:sz w:val="15"/>
              </w:rPr>
              <w:t>-2,868</w:t>
            </w:r>
          </w:p>
        </w:tc>
        <w:tc>
          <w:tcPr>
            <w:tcW w:type="dxa" w:w="899"/>
            <w:shd w:val="clear" w:color="auto" w:fill="EEF3FA"/>
          </w:tcPr>
          <w:p>
            <w:pPr>
              <w:spacing w:before="32" w:after="32" w:line="240" w:lineRule="auto"/>
              <w:jc w:val="right"/>
            </w:pPr>
            <w:r>
              <w:rPr>
                <w:b/>
                <w:color w:val="0B0B0B"/>
                <w:sz w:val="15"/>
              </w:rPr>
              <w:t>-213</w:t>
            </w:r>
          </w:p>
        </w:tc>
        <w:tc>
          <w:tcPr>
            <w:tcW w:type="dxa" w:w="899"/>
            <w:shd w:val="clear" w:color="auto" w:fill="EEF3FA"/>
          </w:tcPr>
          <w:p>
            <w:pPr>
              <w:spacing w:before="32" w:after="32" w:line="240" w:lineRule="auto"/>
              <w:jc w:val="right"/>
            </w:pPr>
            <w:r>
              <w:rPr>
                <w:b/>
                <w:color w:val="0B0B0B"/>
                <w:sz w:val="15"/>
              </w:rPr>
              <w:t>-8,509</w:t>
            </w:r>
          </w:p>
        </w:tc>
        <w:tc>
          <w:tcPr>
            <w:tcW w:type="dxa" w:w="899"/>
            <w:shd w:val="clear" w:color="auto" w:fill="EEF3FA"/>
          </w:tcPr>
          <w:p>
            <w:pPr>
              <w:spacing w:before="32" w:after="32" w:line="240" w:lineRule="auto"/>
              <w:jc w:val="right"/>
            </w:pPr>
            <w:r>
              <w:rPr>
                <w:b/>
                <w:color w:val="0B0B0B"/>
                <w:sz w:val="15"/>
              </w:rPr>
              <w:t>-5,545</w:t>
            </w:r>
          </w:p>
        </w:tc>
        <w:tc>
          <w:tcPr>
            <w:tcW w:type="dxa" w:w="899"/>
            <w:shd w:val="clear" w:color="auto" w:fill="EEF3FA"/>
          </w:tcPr>
          <w:p>
            <w:pPr>
              <w:spacing w:before="32" w:after="32" w:line="240" w:lineRule="auto"/>
              <w:jc w:val="right"/>
            </w:pPr>
            <w:r>
              <w:rPr>
                <w:b/>
                <w:color w:val="0B0B0B"/>
                <w:sz w:val="15"/>
              </w:rPr>
              <w:t>-2,170</w:t>
            </w:r>
          </w:p>
        </w:tc>
        <w:tc>
          <w:tcPr>
            <w:tcW w:type="dxa" w:w="899"/>
            <w:shd w:val="clear" w:color="auto" w:fill="EEF3FA"/>
          </w:tcPr>
          <w:p>
            <w:pPr>
              <w:spacing w:before="32" w:after="32" w:line="240" w:lineRule="auto"/>
              <w:jc w:val="right"/>
            </w:pPr>
            <w:r>
              <w:rPr>
                <w:b/>
                <w:color w:val="0B0B0B"/>
                <w:sz w:val="15"/>
              </w:rPr>
              <w:t>-2,915</w:t>
            </w:r>
          </w:p>
        </w:tc>
      </w:tr>
      <w:tr>
        <w:tc>
          <w:tcPr>
            <w:tcW w:type="dxa" w:w="2115"/>
          </w:tcPr>
          <w:p>
            <w:pPr>
              <w:spacing w:before="32" w:after="32" w:line="240" w:lineRule="auto"/>
              <w:jc w:val="left"/>
            </w:pPr>
            <w:r>
              <w:rPr>
                <w:b/>
                <w:color w:val="0B0B0B"/>
                <w:sz w:val="15"/>
              </w:rPr>
              <w:t>FCF after interest</w:t>
            </w:r>
          </w:p>
        </w:tc>
        <w:tc>
          <w:tcPr>
            <w:tcW w:type="dxa" w:w="899"/>
          </w:tcPr>
          <w:p>
            <w:pPr>
              <w:spacing w:before="32" w:after="32" w:line="240" w:lineRule="auto"/>
              <w:jc w:val="right"/>
            </w:pPr>
            <w:r>
              <w:rPr>
                <w:b/>
                <w:color w:val="0B0B0B"/>
                <w:sz w:val="15"/>
              </w:rPr>
              <w:t>-99</w:t>
            </w:r>
          </w:p>
        </w:tc>
        <w:tc>
          <w:tcPr>
            <w:tcW w:type="dxa" w:w="899"/>
          </w:tcPr>
          <w:p>
            <w:pPr>
              <w:spacing w:before="32" w:after="32" w:line="240" w:lineRule="auto"/>
              <w:jc w:val="right"/>
            </w:pPr>
            <w:r>
              <w:rPr>
                <w:b/>
                <w:color w:val="0B0B0B"/>
                <w:sz w:val="15"/>
              </w:rPr>
              <w:t>-3,228</w:t>
            </w:r>
          </w:p>
        </w:tc>
        <w:tc>
          <w:tcPr>
            <w:tcW w:type="dxa" w:w="899"/>
          </w:tcPr>
          <w:p>
            <w:pPr>
              <w:spacing w:before="32" w:after="32" w:line="240" w:lineRule="auto"/>
              <w:jc w:val="right"/>
            </w:pPr>
            <w:r>
              <w:rPr>
                <w:b/>
                <w:color w:val="0B0B0B"/>
                <w:sz w:val="15"/>
              </w:rPr>
              <w:t>-4,107</w:t>
            </w:r>
          </w:p>
        </w:tc>
        <w:tc>
          <w:tcPr>
            <w:tcW w:type="dxa" w:w="899"/>
          </w:tcPr>
          <w:p>
            <w:pPr>
              <w:spacing w:before="32" w:after="32" w:line="240" w:lineRule="auto"/>
              <w:jc w:val="right"/>
            </w:pPr>
            <w:r>
              <w:rPr>
                <w:b/>
                <w:color w:val="0B0B0B"/>
                <w:sz w:val="15"/>
              </w:rPr>
              <w:t>-5,589</w:t>
            </w:r>
          </w:p>
        </w:tc>
        <w:tc>
          <w:tcPr>
            <w:tcW w:type="dxa" w:w="899"/>
          </w:tcPr>
          <w:p>
            <w:pPr>
              <w:spacing w:before="32" w:after="32" w:line="240" w:lineRule="auto"/>
              <w:jc w:val="right"/>
            </w:pPr>
            <w:r>
              <w:rPr>
                <w:b/>
                <w:color w:val="0B0B0B"/>
                <w:sz w:val="15"/>
              </w:rPr>
              <w:t>-6,169</w:t>
            </w:r>
          </w:p>
        </w:tc>
        <w:tc>
          <w:tcPr>
            <w:tcW w:type="dxa" w:w="899"/>
          </w:tcPr>
          <w:p>
            <w:pPr>
              <w:spacing w:before="32" w:after="32" w:line="240" w:lineRule="auto"/>
              <w:jc w:val="right"/>
            </w:pPr>
            <w:r>
              <w:rPr>
                <w:b/>
                <w:color w:val="0B0B0B"/>
                <w:sz w:val="15"/>
              </w:rPr>
              <w:t>-14,705</w:t>
            </w:r>
          </w:p>
        </w:tc>
        <w:tc>
          <w:tcPr>
            <w:tcW w:type="dxa" w:w="899"/>
          </w:tcPr>
          <w:p>
            <w:pPr>
              <w:spacing w:before="32" w:after="32" w:line="240" w:lineRule="auto"/>
              <w:jc w:val="right"/>
            </w:pPr>
            <w:r>
              <w:rPr>
                <w:b/>
                <w:color w:val="0B0B0B"/>
                <w:sz w:val="15"/>
              </w:rPr>
              <w:t>-13,055</w:t>
            </w:r>
          </w:p>
        </w:tc>
        <w:tc>
          <w:tcPr>
            <w:tcW w:type="dxa" w:w="899"/>
          </w:tcPr>
          <w:p>
            <w:pPr>
              <w:spacing w:before="32" w:after="32" w:line="240" w:lineRule="auto"/>
              <w:jc w:val="right"/>
            </w:pPr>
            <w:r>
              <w:rPr>
                <w:b/>
                <w:color w:val="0B0B0B"/>
                <w:sz w:val="15"/>
              </w:rPr>
              <w:t>-11,478</w:t>
            </w:r>
          </w:p>
        </w:tc>
        <w:tc>
          <w:tcPr>
            <w:tcW w:type="dxa" w:w="899"/>
          </w:tcPr>
          <w:p>
            <w:pPr>
              <w:spacing w:before="32" w:after="32" w:line="240" w:lineRule="auto"/>
              <w:jc w:val="right"/>
            </w:pPr>
            <w:r>
              <w:rPr>
                <w:b/>
                <w:color w:val="0B0B0B"/>
                <w:sz w:val="15"/>
              </w:rPr>
              <w:t>-12,999</w:t>
            </w:r>
          </w:p>
        </w:tc>
      </w:tr>
      <w:tr>
        <w:tc>
          <w:tcPr>
            <w:tcW w:type="dxa" w:w="2115"/>
            <w:shd w:val="clear" w:color="auto" w:fill="EEF3FA"/>
          </w:tcPr>
          <w:p>
            <w:pPr>
              <w:spacing w:before="32" w:after="32" w:line="240" w:lineRule="auto"/>
              <w:jc w:val="left"/>
            </w:pPr>
            <w:r>
              <w:rPr>
                <w:b w:val="0"/>
                <w:color w:val="0B0B0B"/>
                <w:sz w:val="15"/>
              </w:rPr>
              <w:t>Pre-tax OCF / EBITDA</w:t>
            </w:r>
          </w:p>
        </w:tc>
        <w:tc>
          <w:tcPr>
            <w:tcW w:type="dxa" w:w="899"/>
            <w:shd w:val="clear" w:color="auto" w:fill="EEF3FA"/>
          </w:tcPr>
          <w:p>
            <w:pPr>
              <w:spacing w:before="32" w:after="32" w:line="240" w:lineRule="auto"/>
              <w:jc w:val="right"/>
            </w:pPr>
            <w:r>
              <w:rPr>
                <w:b w:val="0"/>
                <w:color w:val="0B0B0B"/>
                <w:sz w:val="15"/>
              </w:rPr>
              <w:t>95%</w:t>
            </w:r>
          </w:p>
        </w:tc>
        <w:tc>
          <w:tcPr>
            <w:tcW w:type="dxa" w:w="899"/>
            <w:shd w:val="clear" w:color="auto" w:fill="EEF3FA"/>
          </w:tcPr>
          <w:p>
            <w:pPr>
              <w:spacing w:before="32" w:after="32" w:line="240" w:lineRule="auto"/>
              <w:jc w:val="right"/>
            </w:pPr>
            <w:r>
              <w:rPr>
                <w:b w:val="0"/>
                <w:color w:val="0B0B0B"/>
                <w:sz w:val="15"/>
              </w:rPr>
              <w:t>74%</w:t>
            </w:r>
          </w:p>
        </w:tc>
        <w:tc>
          <w:tcPr>
            <w:tcW w:type="dxa" w:w="899"/>
            <w:shd w:val="clear" w:color="auto" w:fill="EEF3FA"/>
          </w:tcPr>
          <w:p>
            <w:pPr>
              <w:spacing w:before="32" w:after="32" w:line="240" w:lineRule="auto"/>
              <w:jc w:val="right"/>
            </w:pPr>
            <w:r>
              <w:rPr>
                <w:b w:val="0"/>
                <w:color w:val="0B0B0B"/>
                <w:sz w:val="15"/>
              </w:rPr>
              <w:t>123%</w:t>
            </w:r>
          </w:p>
        </w:tc>
        <w:tc>
          <w:tcPr>
            <w:tcW w:type="dxa" w:w="899"/>
            <w:shd w:val="clear" w:color="auto" w:fill="EEF3FA"/>
          </w:tcPr>
          <w:p>
            <w:pPr>
              <w:spacing w:before="32" w:after="32" w:line="240" w:lineRule="auto"/>
              <w:jc w:val="right"/>
            </w:pPr>
            <w:r>
              <w:rPr>
                <w:b w:val="0"/>
                <w:color w:val="0B0B0B"/>
                <w:sz w:val="15"/>
              </w:rPr>
              <w:t>80%</w:t>
            </w:r>
          </w:p>
        </w:tc>
        <w:tc>
          <w:tcPr>
            <w:tcW w:type="dxa" w:w="899"/>
            <w:shd w:val="clear" w:color="auto" w:fill="EEF3FA"/>
          </w:tcPr>
          <w:p>
            <w:pPr>
              <w:spacing w:before="32" w:after="32" w:line="240" w:lineRule="auto"/>
              <w:jc w:val="right"/>
            </w:pPr>
            <w:r>
              <w:rPr>
                <w:b w:val="0"/>
                <w:color w:val="0B0B0B"/>
                <w:sz w:val="15"/>
              </w:rPr>
              <w:t>101%</w:t>
            </w:r>
          </w:p>
        </w:tc>
        <w:tc>
          <w:tcPr>
            <w:tcW w:type="dxa" w:w="899"/>
            <w:shd w:val="clear" w:color="auto" w:fill="EEF3FA"/>
          </w:tcPr>
          <w:p>
            <w:pPr>
              <w:spacing w:before="32" w:after="32" w:line="240" w:lineRule="auto"/>
              <w:jc w:val="right"/>
            </w:pPr>
            <w:r>
              <w:rPr>
                <w:b w:val="0"/>
                <w:color w:val="0B0B0B"/>
                <w:sz w:val="15"/>
              </w:rPr>
              <w:t>106%</w:t>
            </w:r>
          </w:p>
        </w:tc>
        <w:tc>
          <w:tcPr>
            <w:tcW w:type="dxa" w:w="899"/>
            <w:shd w:val="clear" w:color="auto" w:fill="EEF3FA"/>
          </w:tcPr>
          <w:p>
            <w:pPr>
              <w:spacing w:before="32" w:after="32" w:line="240" w:lineRule="auto"/>
              <w:jc w:val="right"/>
            </w:pPr>
            <w:r>
              <w:rPr>
                <w:b w:val="0"/>
                <w:color w:val="0B0B0B"/>
                <w:sz w:val="15"/>
              </w:rPr>
              <w:t>110%</w:t>
            </w:r>
          </w:p>
        </w:tc>
        <w:tc>
          <w:tcPr>
            <w:tcW w:type="dxa" w:w="899"/>
            <w:shd w:val="clear" w:color="auto" w:fill="EEF3FA"/>
          </w:tcPr>
          <w:p>
            <w:pPr>
              <w:spacing w:before="32" w:after="32" w:line="240" w:lineRule="auto"/>
              <w:jc w:val="right"/>
            </w:pPr>
            <w:r>
              <w:rPr>
                <w:b w:val="0"/>
                <w:color w:val="0B0B0B"/>
                <w:sz w:val="15"/>
              </w:rPr>
              <w:t>104%</w:t>
            </w:r>
          </w:p>
        </w:tc>
        <w:tc>
          <w:tcPr>
            <w:tcW w:type="dxa" w:w="899"/>
            <w:shd w:val="clear" w:color="auto" w:fill="EEF3FA"/>
          </w:tcPr>
          <w:p>
            <w:pPr>
              <w:spacing w:before="32" w:after="32" w:line="240" w:lineRule="auto"/>
              <w:jc w:val="right"/>
            </w:pPr>
            <w:r>
              <w:rPr>
                <w:b w:val="0"/>
                <w:color w:val="0B0B0B"/>
                <w:sz w:val="15"/>
              </w:rPr>
              <w:t>101%</w:t>
            </w:r>
          </w:p>
        </w:tc>
      </w:tr>
      <w:tr>
        <w:tc>
          <w:tcPr>
            <w:tcW w:type="dxa" w:w="2115"/>
          </w:tcPr>
          <w:p>
            <w:pPr>
              <w:spacing w:before="32" w:after="32" w:line="240" w:lineRule="auto"/>
              <w:jc w:val="left"/>
            </w:pPr>
            <w:r>
              <w:rPr>
                <w:b w:val="0"/>
                <w:color w:val="0B0B0B"/>
                <w:sz w:val="15"/>
              </w:rPr>
              <w:t>Debtor days</w:t>
            </w:r>
          </w:p>
        </w:tc>
        <w:tc>
          <w:tcPr>
            <w:tcW w:type="dxa" w:w="899"/>
          </w:tcPr>
          <w:p>
            <w:pPr>
              <w:spacing w:before="32" w:after="32" w:line="240" w:lineRule="auto"/>
              <w:jc w:val="right"/>
            </w:pPr>
            <w:r>
              <w:rPr>
                <w:b w:val="0"/>
                <w:color w:val="0B0B0B"/>
                <w:sz w:val="15"/>
              </w:rPr>
              <w:t>54</w:t>
            </w:r>
          </w:p>
        </w:tc>
        <w:tc>
          <w:tcPr>
            <w:tcW w:type="dxa" w:w="899"/>
          </w:tcPr>
          <w:p>
            <w:pPr>
              <w:spacing w:before="32" w:after="32" w:line="240" w:lineRule="auto"/>
              <w:jc w:val="right"/>
            </w:pPr>
            <w:r>
              <w:rPr>
                <w:b w:val="0"/>
                <w:color w:val="0B0B0B"/>
                <w:sz w:val="15"/>
              </w:rPr>
              <w:t>82</w:t>
            </w:r>
          </w:p>
        </w:tc>
        <w:tc>
          <w:tcPr>
            <w:tcW w:type="dxa" w:w="899"/>
          </w:tcPr>
          <w:p>
            <w:pPr>
              <w:spacing w:before="32" w:after="32" w:line="240" w:lineRule="auto"/>
              <w:jc w:val="right"/>
            </w:pPr>
            <w:r>
              <w:rPr>
                <w:b w:val="0"/>
                <w:color w:val="0B0B0B"/>
                <w:sz w:val="15"/>
              </w:rPr>
              <w:t>54</w:t>
            </w:r>
          </w:p>
        </w:tc>
        <w:tc>
          <w:tcPr>
            <w:tcW w:type="dxa" w:w="899"/>
          </w:tcPr>
          <w:p>
            <w:pPr>
              <w:spacing w:before="32" w:after="32" w:line="240" w:lineRule="auto"/>
              <w:jc w:val="right"/>
            </w:pPr>
            <w:r>
              <w:rPr>
                <w:b w:val="0"/>
                <w:color w:val="0B0B0B"/>
                <w:sz w:val="15"/>
              </w:rPr>
              <w:t>81</w:t>
            </w:r>
          </w:p>
        </w:tc>
        <w:tc>
          <w:tcPr>
            <w:tcW w:type="dxa" w:w="899"/>
          </w:tcPr>
          <w:p>
            <w:pPr>
              <w:spacing w:before="32" w:after="32" w:line="240" w:lineRule="auto"/>
              <w:jc w:val="right"/>
            </w:pPr>
            <w:r>
              <w:rPr>
                <w:b w:val="0"/>
                <w:color w:val="0B0B0B"/>
                <w:sz w:val="15"/>
              </w:rPr>
              <w:t>57</w:t>
            </w:r>
          </w:p>
        </w:tc>
        <w:tc>
          <w:tcPr>
            <w:tcW w:type="dxa" w:w="899"/>
          </w:tcPr>
          <w:p>
            <w:pPr>
              <w:spacing w:before="32" w:after="32" w:line="240" w:lineRule="auto"/>
              <w:jc w:val="right"/>
            </w:pPr>
            <w:r>
              <w:rPr>
                <w:b w:val="0"/>
                <w:color w:val="0B0B0B"/>
                <w:sz w:val="15"/>
              </w:rPr>
              <w:t>50</w:t>
            </w:r>
          </w:p>
        </w:tc>
        <w:tc>
          <w:tcPr>
            <w:tcW w:type="dxa" w:w="899"/>
          </w:tcPr>
          <w:p>
            <w:pPr>
              <w:spacing w:before="32" w:after="32" w:line="240" w:lineRule="auto"/>
              <w:jc w:val="right"/>
            </w:pPr>
            <w:r>
              <w:rPr>
                <w:b w:val="0"/>
                <w:color w:val="0B0B0B"/>
                <w:sz w:val="15"/>
              </w:rPr>
              <w:t>50</w:t>
            </w:r>
          </w:p>
        </w:tc>
        <w:tc>
          <w:tcPr>
            <w:tcW w:type="dxa" w:w="899"/>
          </w:tcPr>
          <w:p>
            <w:pPr>
              <w:spacing w:before="32" w:after="32" w:line="240" w:lineRule="auto"/>
              <w:jc w:val="right"/>
            </w:pPr>
            <w:r>
              <w:rPr>
                <w:b w:val="0"/>
                <w:color w:val="0B0B0B"/>
                <w:sz w:val="15"/>
              </w:rPr>
              <w:t>50</w:t>
            </w:r>
          </w:p>
        </w:tc>
        <w:tc>
          <w:tcPr>
            <w:tcW w:type="dxa" w:w="899"/>
          </w:tcPr>
          <w:p>
            <w:pPr>
              <w:spacing w:before="32" w:after="32" w:line="240" w:lineRule="auto"/>
              <w:jc w:val="right"/>
            </w:pPr>
            <w:r>
              <w:rPr>
                <w:b w:val="0"/>
                <w:color w:val="0B0B0B"/>
                <w:sz w:val="15"/>
              </w:rPr>
              <w:t>50</w:t>
            </w:r>
          </w:p>
        </w:tc>
      </w:tr>
      <w:tr>
        <w:tc>
          <w:tcPr>
            <w:tcW w:type="dxa" w:w="2115"/>
            <w:shd w:val="clear" w:color="auto" w:fill="EEF3FA"/>
          </w:tcPr>
          <w:p>
            <w:pPr>
              <w:spacing w:before="32" w:after="32" w:line="240" w:lineRule="auto"/>
              <w:jc w:val="left"/>
            </w:pPr>
            <w:r>
              <w:rPr>
                <w:b w:val="0"/>
                <w:color w:val="0B0B0B"/>
                <w:sz w:val="15"/>
              </w:rPr>
              <w:t>Inventory days</w:t>
            </w:r>
          </w:p>
        </w:tc>
        <w:tc>
          <w:tcPr>
            <w:tcW w:type="dxa" w:w="899"/>
            <w:shd w:val="clear" w:color="auto" w:fill="EEF3FA"/>
          </w:tcPr>
          <w:p>
            <w:pPr>
              <w:spacing w:before="32" w:after="32" w:line="240" w:lineRule="auto"/>
              <w:jc w:val="right"/>
            </w:pPr>
            <w:r>
              <w:rPr>
                <w:b w:val="0"/>
                <w:color w:val="0B0B0B"/>
                <w:sz w:val="15"/>
              </w:rPr>
              <w:t>40</w:t>
            </w:r>
          </w:p>
        </w:tc>
        <w:tc>
          <w:tcPr>
            <w:tcW w:type="dxa" w:w="899"/>
            <w:shd w:val="clear" w:color="auto" w:fill="EEF3FA"/>
          </w:tcPr>
          <w:p>
            <w:pPr>
              <w:spacing w:before="32" w:after="32" w:line="240" w:lineRule="auto"/>
              <w:jc w:val="right"/>
            </w:pPr>
            <w:r>
              <w:rPr>
                <w:b w:val="0"/>
                <w:color w:val="0B0B0B"/>
                <w:sz w:val="15"/>
              </w:rPr>
              <w:t>35</w:t>
            </w:r>
          </w:p>
        </w:tc>
        <w:tc>
          <w:tcPr>
            <w:tcW w:type="dxa" w:w="899"/>
            <w:shd w:val="clear" w:color="auto" w:fill="EEF3FA"/>
          </w:tcPr>
          <w:p>
            <w:pPr>
              <w:spacing w:before="32" w:after="32" w:line="240" w:lineRule="auto"/>
              <w:jc w:val="right"/>
            </w:pPr>
            <w:r>
              <w:rPr>
                <w:b w:val="0"/>
                <w:color w:val="0B0B0B"/>
                <w:sz w:val="15"/>
              </w:rPr>
              <w:t>26</w:t>
            </w:r>
          </w:p>
        </w:tc>
        <w:tc>
          <w:tcPr>
            <w:tcW w:type="dxa" w:w="899"/>
            <w:shd w:val="clear" w:color="auto" w:fill="EEF3FA"/>
          </w:tcPr>
          <w:p>
            <w:pPr>
              <w:spacing w:before="32" w:after="32" w:line="240" w:lineRule="auto"/>
              <w:jc w:val="right"/>
            </w:pPr>
            <w:r>
              <w:rPr>
                <w:b w:val="0"/>
                <w:color w:val="0B0B0B"/>
                <w:sz w:val="15"/>
              </w:rPr>
              <w:t>28</w:t>
            </w:r>
          </w:p>
        </w:tc>
        <w:tc>
          <w:tcPr>
            <w:tcW w:type="dxa" w:w="899"/>
            <w:shd w:val="clear" w:color="auto" w:fill="EEF3FA"/>
          </w:tcPr>
          <w:p>
            <w:pPr>
              <w:spacing w:before="32" w:after="32" w:line="240" w:lineRule="auto"/>
              <w:jc w:val="right"/>
            </w:pPr>
            <w:r>
              <w:rPr>
                <w:b w:val="0"/>
                <w:color w:val="0B0B0B"/>
                <w:sz w:val="15"/>
              </w:rPr>
              <w:t>19</w:t>
            </w:r>
          </w:p>
        </w:tc>
        <w:tc>
          <w:tcPr>
            <w:tcW w:type="dxa" w:w="899"/>
            <w:shd w:val="clear" w:color="auto" w:fill="EEF3FA"/>
          </w:tcPr>
          <w:p>
            <w:pPr>
              <w:spacing w:before="32" w:after="32" w:line="240" w:lineRule="auto"/>
              <w:jc w:val="right"/>
            </w:pPr>
            <w:r>
              <w:rPr>
                <w:b w:val="0"/>
                <w:color w:val="0B0B0B"/>
                <w:sz w:val="15"/>
              </w:rPr>
              <w:t>18</w:t>
            </w:r>
          </w:p>
        </w:tc>
        <w:tc>
          <w:tcPr>
            <w:tcW w:type="dxa" w:w="899"/>
            <w:shd w:val="clear" w:color="auto" w:fill="EEF3FA"/>
          </w:tcPr>
          <w:p>
            <w:pPr>
              <w:spacing w:before="32" w:after="32" w:line="240" w:lineRule="auto"/>
              <w:jc w:val="right"/>
            </w:pPr>
            <w:r>
              <w:rPr>
                <w:b w:val="0"/>
                <w:color w:val="0B0B0B"/>
                <w:sz w:val="15"/>
              </w:rPr>
              <w:t>18</w:t>
            </w:r>
          </w:p>
        </w:tc>
        <w:tc>
          <w:tcPr>
            <w:tcW w:type="dxa" w:w="899"/>
            <w:shd w:val="clear" w:color="auto" w:fill="EEF3FA"/>
          </w:tcPr>
          <w:p>
            <w:pPr>
              <w:spacing w:before="32" w:after="32" w:line="240" w:lineRule="auto"/>
              <w:jc w:val="right"/>
            </w:pPr>
            <w:r>
              <w:rPr>
                <w:b w:val="0"/>
                <w:color w:val="0B0B0B"/>
                <w:sz w:val="15"/>
              </w:rPr>
              <w:t>18</w:t>
            </w:r>
          </w:p>
        </w:tc>
        <w:tc>
          <w:tcPr>
            <w:tcW w:type="dxa" w:w="899"/>
            <w:shd w:val="clear" w:color="auto" w:fill="EEF3FA"/>
          </w:tcPr>
          <w:p>
            <w:pPr>
              <w:spacing w:before="32" w:after="32" w:line="240" w:lineRule="auto"/>
              <w:jc w:val="right"/>
            </w:pPr>
            <w:r>
              <w:rPr>
                <w:b w:val="0"/>
                <w:color w:val="0B0B0B"/>
                <w:sz w:val="15"/>
              </w:rPr>
              <w:t>18</w:t>
            </w:r>
          </w:p>
        </w:tc>
      </w:tr>
      <w:tr>
        <w:tc>
          <w:tcPr>
            <w:tcW w:type="dxa" w:w="2115"/>
          </w:tcPr>
          <w:p>
            <w:pPr>
              <w:spacing w:before="32" w:after="32" w:line="240" w:lineRule="auto"/>
              <w:jc w:val="left"/>
            </w:pPr>
            <w:r>
              <w:rPr>
                <w:b w:val="0"/>
                <w:color w:val="0B0B0B"/>
                <w:sz w:val="15"/>
              </w:rPr>
              <w:t>Net working capital days</w:t>
            </w:r>
          </w:p>
        </w:tc>
        <w:tc>
          <w:tcPr>
            <w:tcW w:type="dxa" w:w="899"/>
          </w:tcPr>
          <w:p>
            <w:pPr>
              <w:spacing w:before="32" w:after="32" w:line="240" w:lineRule="auto"/>
              <w:jc w:val="right"/>
            </w:pPr>
            <w:r>
              <w:rPr>
                <w:b w:val="0"/>
                <w:color w:val="0B0B0B"/>
                <w:sz w:val="15"/>
              </w:rPr>
              <w:t>32</w:t>
            </w:r>
          </w:p>
        </w:tc>
        <w:tc>
          <w:tcPr>
            <w:tcW w:type="dxa" w:w="899"/>
          </w:tcPr>
          <w:p>
            <w:pPr>
              <w:spacing w:before="32" w:after="32" w:line="240" w:lineRule="auto"/>
              <w:jc w:val="right"/>
            </w:pPr>
            <w:r>
              <w:rPr>
                <w:b w:val="0"/>
                <w:color w:val="0B0B0B"/>
                <w:sz w:val="15"/>
              </w:rPr>
              <w:t>54</w:t>
            </w:r>
          </w:p>
        </w:tc>
        <w:tc>
          <w:tcPr>
            <w:tcW w:type="dxa" w:w="899"/>
          </w:tcPr>
          <w:p>
            <w:pPr>
              <w:spacing w:before="32" w:after="32" w:line="240" w:lineRule="auto"/>
              <w:jc w:val="right"/>
            </w:pPr>
            <w:r>
              <w:rPr>
                <w:b w:val="0"/>
                <w:color w:val="0B0B0B"/>
                <w:sz w:val="15"/>
              </w:rPr>
              <w:t>51</w:t>
            </w:r>
          </w:p>
        </w:tc>
        <w:tc>
          <w:tcPr>
            <w:tcW w:type="dxa" w:w="899"/>
          </w:tcPr>
          <w:p>
            <w:pPr>
              <w:spacing w:before="32" w:after="32" w:line="240" w:lineRule="auto"/>
              <w:jc w:val="right"/>
            </w:pPr>
            <w:r>
              <w:rPr>
                <w:b w:val="0"/>
                <w:color w:val="0B0B0B"/>
                <w:sz w:val="15"/>
              </w:rPr>
              <w:t>51</w:t>
            </w:r>
          </w:p>
        </w:tc>
        <w:tc>
          <w:tcPr>
            <w:tcW w:type="dxa" w:w="899"/>
          </w:tcPr>
          <w:p>
            <w:pPr>
              <w:spacing w:before="32" w:after="32" w:line="240" w:lineRule="auto"/>
              <w:jc w:val="right"/>
            </w:pPr>
            <w:r>
              <w:rPr>
                <w:b w:val="0"/>
                <w:color w:val="0B0B0B"/>
                <w:sz w:val="15"/>
              </w:rPr>
              <w:t>45</w:t>
            </w:r>
          </w:p>
        </w:tc>
        <w:tc>
          <w:tcPr>
            <w:tcW w:type="dxa" w:w="899"/>
          </w:tcPr>
          <w:p>
            <w:pPr>
              <w:spacing w:before="32" w:after="32" w:line="240" w:lineRule="auto"/>
              <w:jc w:val="right"/>
            </w:pPr>
            <w:r>
              <w:rPr>
                <w:b w:val="0"/>
                <w:color w:val="0B0B0B"/>
                <w:sz w:val="15"/>
              </w:rPr>
              <w:t>38</w:t>
            </w:r>
          </w:p>
        </w:tc>
        <w:tc>
          <w:tcPr>
            <w:tcW w:type="dxa" w:w="899"/>
          </w:tcPr>
          <w:p>
            <w:pPr>
              <w:spacing w:before="32" w:after="32" w:line="240" w:lineRule="auto"/>
              <w:jc w:val="right"/>
            </w:pPr>
            <w:r>
              <w:rPr>
                <w:b w:val="0"/>
                <w:color w:val="0B0B0B"/>
                <w:sz w:val="15"/>
              </w:rPr>
              <w:t>38</w:t>
            </w:r>
          </w:p>
        </w:tc>
        <w:tc>
          <w:tcPr>
            <w:tcW w:type="dxa" w:w="899"/>
          </w:tcPr>
          <w:p>
            <w:pPr>
              <w:spacing w:before="32" w:after="32" w:line="240" w:lineRule="auto"/>
              <w:jc w:val="right"/>
            </w:pPr>
            <w:r>
              <w:rPr>
                <w:b w:val="0"/>
                <w:color w:val="0B0B0B"/>
                <w:sz w:val="15"/>
              </w:rPr>
              <w:t>38</w:t>
            </w:r>
          </w:p>
        </w:tc>
        <w:tc>
          <w:tcPr>
            <w:tcW w:type="dxa" w:w="899"/>
          </w:tcPr>
          <w:p>
            <w:pPr>
              <w:spacing w:before="32" w:after="32" w:line="240" w:lineRule="auto"/>
              <w:jc w:val="right"/>
            </w:pPr>
            <w:r>
              <w:rPr>
                <w:b w:val="0"/>
                <w:color w:val="0B0B0B"/>
                <w:sz w:val="15"/>
              </w:rPr>
              <w:t>38</w:t>
            </w:r>
          </w:p>
        </w:tc>
      </w:tr>
    </w:tbl>
    <w:p>
      <w:pPr>
        <w:spacing w:before="40" w:after="120"/>
      </w:pPr>
      <w:r>
        <w:rPr>
          <w:b w:val="0"/>
          <w:i/>
          <w:color w:val="8A8880"/>
          <w:sz w:val="14"/>
        </w:rPr>
        <w:t>Source: analyst model. Debtor and inventory days are computed on year-end balances over that year's revenue.</w:t>
      </w:r>
    </w:p>
    <w:p>
      <w:pPr>
        <w:spacing w:before="0" w:after="100"/>
      </w:pPr>
      <w:r>
        <w:rPr>
          <w:b w:val="0"/>
          <w:i w:val="0"/>
          <w:color w:val="0B0B0B"/>
          <w:sz w:val="17"/>
        </w:rPr>
        <w:t>Is reported profit converting into cash? At the EBITDA line, yes — pre-tax operating cash flow has run at 74% to 123% of EBITDA and the model assumes 101–110% through the forecast, which is normal for a utility with contracted receivables. Debtor days improved from 81 in FY25A to 57 in FY26A. At the equity line, no, and not by a small margin. Free cash flow after interest has been negative in every year since FY22A and the model forecasts a cumulative Rs.53,993cr of negative post-interest free cash flow over FY27E–FY30E. This is not a working capital problem or an earnings-quality problem; it is what a Rs.89,565cr four-year capex programme looks like on a Rs.10,064cr EBITDA base. The company is a net consumer of capital throughout the forecast and there is no year in the model in which it becomes self-funding.</w:t>
      </w:r>
    </w:p>
    <w:p>
      <w:pPr>
        <w:spacing w:before="0" w:after="100"/>
      </w:pPr>
      <w:r>
        <w:rPr>
          <w:b w:val="0"/>
          <w:i w:val="0"/>
          <w:color w:val="0B0B0B"/>
          <w:sz w:val="17"/>
        </w:rPr>
        <w:t>Are returns improving or being diluted? Both, at different points. ROCE fell from 7.1% in FY22A to 4.2% in FY25A as acquisitions landed on the balance sheet before their earnings did, then recovered to 6.4% in FY26A as KSK consolidated for a full year. The model then has it grinding up to 8.8% by FY30E. ROE tells a flatter story — 8.1% in FY25A, 7.9% in FY26A, 11.8% in FY30E — and the Du Pont decomposition explains why the improvement is thin: asset turnover barely moves (0.16x to 0.22x), PAT margin does not recover to its FY25A level until FY30E, and the ROE improvement comes substantially from leverage rising from 2.85x to 3.45x average assets over average net worth. An ROE improvement driven by gearing is not the same thing as a better business.</w:t>
      </w:r>
    </w:p>
    <w:p>
      <w:pPr>
        <w:keepNext/>
        <w:spacing w:before="180" w:after="40"/>
      </w:pPr>
      <w:r>
        <w:rPr>
          <w:b/>
          <w:color w:val="1F3864"/>
          <w:sz w:val="21"/>
        </w:rPr>
        <w:t>18.  Treasury, Balance Sheet and Capital Allocation</w:t>
      </w:r>
    </w:p>
    <w:p>
      <w:pPr>
        <w:spacing w:before="0" w:after="100"/>
      </w:pPr>
      <w:r>
        <w:rPr>
          <w:b w:val="0"/>
          <w:i w:val="0"/>
          <w:color w:val="0B0B0B"/>
          <w:sz w:val="17"/>
        </w:rPr>
        <w:t>JSW Energy is leveraged, not cash-rich, so the debt profile is the relevant disclosure.</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2287"/>
        <w:gridCol w:w="879"/>
        <w:gridCol w:w="879"/>
        <w:gridCol w:w="879"/>
        <w:gridCol w:w="879"/>
        <w:gridCol w:w="879"/>
        <w:gridCol w:w="879"/>
        <w:gridCol w:w="879"/>
        <w:gridCol w:w="879"/>
        <w:gridCol w:w="879"/>
      </w:tblGrid>
      <w:tr>
        <w:tc>
          <w:tcPr>
            <w:tcW w:type="dxa" w:w="2287"/>
            <w:shd w:val="clear" w:color="auto" w:fill="1F3864"/>
          </w:tcPr>
          <w:p>
            <w:pPr>
              <w:spacing w:before="50" w:after="50"/>
              <w:jc w:val="left"/>
            </w:pPr>
            <w:r>
              <w:rPr>
                <w:b/>
                <w:color w:val="FFFFFF"/>
                <w:sz w:val="15"/>
              </w:rPr>
              <w:t>Rs. cr</w:t>
            </w:r>
          </w:p>
        </w:tc>
        <w:tc>
          <w:tcPr>
            <w:tcW w:type="dxa" w:w="880"/>
            <w:shd w:val="clear" w:color="auto" w:fill="1F3864"/>
          </w:tcPr>
          <w:p>
            <w:pPr>
              <w:spacing w:before="50" w:after="50"/>
              <w:jc w:val="right"/>
            </w:pPr>
            <w:r>
              <w:rPr>
                <w:b/>
                <w:color w:val="FFFFFF"/>
                <w:sz w:val="15"/>
              </w:rPr>
              <w:t>FY22A</w:t>
            </w:r>
          </w:p>
        </w:tc>
        <w:tc>
          <w:tcPr>
            <w:tcW w:type="dxa" w:w="880"/>
            <w:shd w:val="clear" w:color="auto" w:fill="1F3864"/>
          </w:tcPr>
          <w:p>
            <w:pPr>
              <w:spacing w:before="50" w:after="50"/>
              <w:jc w:val="right"/>
            </w:pPr>
            <w:r>
              <w:rPr>
                <w:b/>
                <w:color w:val="FFFFFF"/>
                <w:sz w:val="15"/>
              </w:rPr>
              <w:t>FY23A</w:t>
            </w:r>
          </w:p>
        </w:tc>
        <w:tc>
          <w:tcPr>
            <w:tcW w:type="dxa" w:w="880"/>
            <w:shd w:val="clear" w:color="auto" w:fill="1F3864"/>
          </w:tcPr>
          <w:p>
            <w:pPr>
              <w:spacing w:before="50" w:after="50"/>
              <w:jc w:val="right"/>
            </w:pPr>
            <w:r>
              <w:rPr>
                <w:b/>
                <w:color w:val="FFFFFF"/>
                <w:sz w:val="15"/>
              </w:rPr>
              <w:t>FY24A</w:t>
            </w:r>
          </w:p>
        </w:tc>
        <w:tc>
          <w:tcPr>
            <w:tcW w:type="dxa" w:w="880"/>
            <w:shd w:val="clear" w:color="auto" w:fill="1F3864"/>
          </w:tcPr>
          <w:p>
            <w:pPr>
              <w:spacing w:before="50" w:after="50"/>
              <w:jc w:val="right"/>
            </w:pPr>
            <w:r>
              <w:rPr>
                <w:b/>
                <w:color w:val="FFFFFF"/>
                <w:sz w:val="15"/>
              </w:rPr>
              <w:t>FY25A</w:t>
            </w:r>
          </w:p>
        </w:tc>
        <w:tc>
          <w:tcPr>
            <w:tcW w:type="dxa" w:w="880"/>
            <w:shd w:val="clear" w:color="auto" w:fill="1F3864"/>
          </w:tcPr>
          <w:p>
            <w:pPr>
              <w:spacing w:before="50" w:after="50"/>
              <w:jc w:val="right"/>
            </w:pPr>
            <w:r>
              <w:rPr>
                <w:b/>
                <w:color w:val="FFFFFF"/>
                <w:sz w:val="15"/>
              </w:rPr>
              <w:t>FY26A</w:t>
            </w:r>
          </w:p>
        </w:tc>
        <w:tc>
          <w:tcPr>
            <w:tcW w:type="dxa" w:w="880"/>
            <w:shd w:val="clear" w:color="auto" w:fill="1F3864"/>
          </w:tcPr>
          <w:p>
            <w:pPr>
              <w:spacing w:before="50" w:after="50"/>
              <w:jc w:val="right"/>
            </w:pPr>
            <w:r>
              <w:rPr>
                <w:b/>
                <w:color w:val="FFFFFF"/>
                <w:sz w:val="15"/>
              </w:rPr>
              <w:t>FY27E</w:t>
            </w:r>
          </w:p>
        </w:tc>
        <w:tc>
          <w:tcPr>
            <w:tcW w:type="dxa" w:w="880"/>
            <w:shd w:val="clear" w:color="auto" w:fill="1F3864"/>
          </w:tcPr>
          <w:p>
            <w:pPr>
              <w:spacing w:before="50" w:after="50"/>
              <w:jc w:val="right"/>
            </w:pPr>
            <w:r>
              <w:rPr>
                <w:b/>
                <w:color w:val="FFFFFF"/>
                <w:sz w:val="15"/>
              </w:rPr>
              <w:t>FY28E</w:t>
            </w:r>
          </w:p>
        </w:tc>
        <w:tc>
          <w:tcPr>
            <w:tcW w:type="dxa" w:w="880"/>
            <w:shd w:val="clear" w:color="auto" w:fill="1F3864"/>
          </w:tcPr>
          <w:p>
            <w:pPr>
              <w:spacing w:before="50" w:after="50"/>
              <w:jc w:val="right"/>
            </w:pPr>
            <w:r>
              <w:rPr>
                <w:b/>
                <w:color w:val="FFFFFF"/>
                <w:sz w:val="15"/>
              </w:rPr>
              <w:t>FY29E</w:t>
            </w:r>
          </w:p>
        </w:tc>
        <w:tc>
          <w:tcPr>
            <w:tcW w:type="dxa" w:w="880"/>
            <w:shd w:val="clear" w:color="auto" w:fill="1F3864"/>
          </w:tcPr>
          <w:p>
            <w:pPr>
              <w:spacing w:before="50" w:after="50"/>
              <w:jc w:val="right"/>
            </w:pPr>
            <w:r>
              <w:rPr>
                <w:b/>
                <w:color w:val="FFFFFF"/>
                <w:sz w:val="15"/>
              </w:rPr>
              <w:t>FY30E</w:t>
            </w:r>
          </w:p>
        </w:tc>
      </w:tr>
      <w:tr>
        <w:tc>
          <w:tcPr>
            <w:tcW w:type="dxa" w:w="2287"/>
          </w:tcPr>
          <w:p>
            <w:pPr>
              <w:spacing w:before="32" w:after="32" w:line="240" w:lineRule="auto"/>
              <w:jc w:val="left"/>
            </w:pPr>
            <w:r>
              <w:rPr>
                <w:b w:val="0"/>
                <w:color w:val="0B0B0B"/>
                <w:sz w:val="15"/>
              </w:rPr>
              <w:t>Gross debt</w:t>
            </w:r>
          </w:p>
        </w:tc>
        <w:tc>
          <w:tcPr>
            <w:tcW w:type="dxa" w:w="880"/>
          </w:tcPr>
          <w:p>
            <w:pPr>
              <w:spacing w:before="32" w:after="32" w:line="240" w:lineRule="auto"/>
              <w:jc w:val="right"/>
            </w:pPr>
            <w:r>
              <w:rPr>
                <w:b w:val="0"/>
                <w:color w:val="0B0B0B"/>
                <w:sz w:val="15"/>
              </w:rPr>
              <w:t>8,892</w:t>
            </w:r>
          </w:p>
        </w:tc>
        <w:tc>
          <w:tcPr>
            <w:tcW w:type="dxa" w:w="880"/>
          </w:tcPr>
          <w:p>
            <w:pPr>
              <w:spacing w:before="32" w:after="32" w:line="240" w:lineRule="auto"/>
              <w:jc w:val="right"/>
            </w:pPr>
            <w:r>
              <w:rPr>
                <w:b w:val="0"/>
                <w:color w:val="0B0B0B"/>
                <w:sz w:val="15"/>
              </w:rPr>
              <w:t>24,817</w:t>
            </w:r>
          </w:p>
        </w:tc>
        <w:tc>
          <w:tcPr>
            <w:tcW w:type="dxa" w:w="880"/>
          </w:tcPr>
          <w:p>
            <w:pPr>
              <w:spacing w:before="32" w:after="32" w:line="240" w:lineRule="auto"/>
              <w:jc w:val="right"/>
            </w:pPr>
            <w:r>
              <w:rPr>
                <w:b w:val="0"/>
                <w:color w:val="0B0B0B"/>
                <w:sz w:val="15"/>
              </w:rPr>
              <w:t>31,327</w:t>
            </w:r>
          </w:p>
        </w:tc>
        <w:tc>
          <w:tcPr>
            <w:tcW w:type="dxa" w:w="880"/>
          </w:tcPr>
          <w:p>
            <w:pPr>
              <w:spacing w:before="32" w:after="32" w:line="240" w:lineRule="auto"/>
              <w:jc w:val="right"/>
            </w:pPr>
            <w:r>
              <w:rPr>
                <w:b w:val="0"/>
                <w:color w:val="0B0B0B"/>
                <w:sz w:val="15"/>
              </w:rPr>
              <w:t>49,621</w:t>
            </w:r>
          </w:p>
        </w:tc>
        <w:tc>
          <w:tcPr>
            <w:tcW w:type="dxa" w:w="880"/>
          </w:tcPr>
          <w:p>
            <w:pPr>
              <w:spacing w:before="32" w:after="32" w:line="240" w:lineRule="auto"/>
              <w:jc w:val="right"/>
            </w:pPr>
            <w:r>
              <w:rPr>
                <w:b w:val="0"/>
                <w:color w:val="0B0B0B"/>
                <w:sz w:val="15"/>
              </w:rPr>
              <w:t>75,846</w:t>
            </w:r>
          </w:p>
        </w:tc>
        <w:tc>
          <w:tcPr>
            <w:tcW w:type="dxa" w:w="880"/>
          </w:tcPr>
          <w:p>
            <w:pPr>
              <w:spacing w:before="32" w:after="32" w:line="240" w:lineRule="auto"/>
              <w:jc w:val="right"/>
            </w:pPr>
            <w:r>
              <w:rPr>
                <w:b w:val="0"/>
                <w:color w:val="0B0B0B"/>
                <w:sz w:val="15"/>
              </w:rPr>
              <w:t>85,681</w:t>
            </w:r>
          </w:p>
        </w:tc>
        <w:tc>
          <w:tcPr>
            <w:tcW w:type="dxa" w:w="880"/>
          </w:tcPr>
          <w:p>
            <w:pPr>
              <w:spacing w:before="32" w:after="32" w:line="240" w:lineRule="auto"/>
              <w:jc w:val="right"/>
            </w:pPr>
            <w:r>
              <w:rPr>
                <w:b w:val="0"/>
                <w:color w:val="0B0B0B"/>
                <w:sz w:val="15"/>
              </w:rPr>
              <w:t>94,358</w:t>
            </w:r>
          </w:p>
        </w:tc>
        <w:tc>
          <w:tcPr>
            <w:tcW w:type="dxa" w:w="880"/>
          </w:tcPr>
          <w:p>
            <w:pPr>
              <w:spacing w:before="32" w:after="32" w:line="240" w:lineRule="auto"/>
              <w:jc w:val="right"/>
            </w:pPr>
            <w:r>
              <w:rPr>
                <w:b w:val="0"/>
                <w:color w:val="0B0B0B"/>
                <w:sz w:val="15"/>
              </w:rPr>
              <w:t>107,669</w:t>
            </w:r>
          </w:p>
        </w:tc>
        <w:tc>
          <w:tcPr>
            <w:tcW w:type="dxa" w:w="880"/>
          </w:tcPr>
          <w:p>
            <w:pPr>
              <w:spacing w:before="32" w:after="32" w:line="240" w:lineRule="auto"/>
              <w:jc w:val="right"/>
            </w:pPr>
            <w:r>
              <w:rPr>
                <w:b w:val="0"/>
                <w:color w:val="0B0B0B"/>
                <w:sz w:val="15"/>
              </w:rPr>
              <w:t>116,378</w:t>
            </w:r>
          </w:p>
        </w:tc>
      </w:tr>
      <w:tr>
        <w:tc>
          <w:tcPr>
            <w:tcW w:type="dxa" w:w="2287"/>
            <w:shd w:val="clear" w:color="auto" w:fill="EEF3FA"/>
          </w:tcPr>
          <w:p>
            <w:pPr>
              <w:spacing w:before="32" w:after="32" w:line="240" w:lineRule="auto"/>
              <w:jc w:val="left"/>
            </w:pPr>
            <w:r>
              <w:rPr>
                <w:b w:val="0"/>
                <w:color w:val="0B0B0B"/>
                <w:sz w:val="15"/>
              </w:rPr>
              <w:t>Cash and liquid investments</w:t>
            </w:r>
          </w:p>
        </w:tc>
        <w:tc>
          <w:tcPr>
            <w:tcW w:type="dxa" w:w="880"/>
            <w:shd w:val="clear" w:color="auto" w:fill="EEF3FA"/>
          </w:tcPr>
          <w:p>
            <w:pPr>
              <w:spacing w:before="32" w:after="32" w:line="240" w:lineRule="auto"/>
              <w:jc w:val="right"/>
            </w:pPr>
            <w:r>
              <w:rPr>
                <w:b w:val="0"/>
                <w:color w:val="0B0B0B"/>
                <w:sz w:val="15"/>
              </w:rPr>
              <w:t>2,526</w:t>
            </w:r>
          </w:p>
        </w:tc>
        <w:tc>
          <w:tcPr>
            <w:tcW w:type="dxa" w:w="880"/>
            <w:shd w:val="clear" w:color="auto" w:fill="EEF3FA"/>
          </w:tcPr>
          <w:p>
            <w:pPr>
              <w:spacing w:before="32" w:after="32" w:line="240" w:lineRule="auto"/>
              <w:jc w:val="right"/>
            </w:pPr>
            <w:r>
              <w:rPr>
                <w:b w:val="0"/>
                <w:color w:val="0B0B0B"/>
                <w:sz w:val="15"/>
              </w:rPr>
              <w:t>5,085</w:t>
            </w:r>
          </w:p>
        </w:tc>
        <w:tc>
          <w:tcPr>
            <w:tcW w:type="dxa" w:w="880"/>
            <w:shd w:val="clear" w:color="auto" w:fill="EEF3FA"/>
          </w:tcPr>
          <w:p>
            <w:pPr>
              <w:spacing w:before="32" w:after="32" w:line="240" w:lineRule="auto"/>
              <w:jc w:val="right"/>
            </w:pPr>
            <w:r>
              <w:rPr>
                <w:b w:val="0"/>
                <w:color w:val="0B0B0B"/>
                <w:sz w:val="15"/>
              </w:rPr>
              <w:t>5,296</w:t>
            </w:r>
          </w:p>
        </w:tc>
        <w:tc>
          <w:tcPr>
            <w:tcW w:type="dxa" w:w="880"/>
            <w:shd w:val="clear" w:color="auto" w:fill="EEF3FA"/>
          </w:tcPr>
          <w:p>
            <w:pPr>
              <w:spacing w:before="32" w:after="32" w:line="240" w:lineRule="auto"/>
              <w:jc w:val="right"/>
            </w:pPr>
            <w:r>
              <w:rPr>
                <w:b w:val="0"/>
                <w:color w:val="0B0B0B"/>
                <w:sz w:val="15"/>
              </w:rPr>
              <w:t>6,797</w:t>
            </w:r>
          </w:p>
        </w:tc>
        <w:tc>
          <w:tcPr>
            <w:tcW w:type="dxa" w:w="880"/>
            <w:shd w:val="clear" w:color="auto" w:fill="EEF3FA"/>
          </w:tcPr>
          <w:p>
            <w:pPr>
              <w:spacing w:before="32" w:after="32" w:line="240" w:lineRule="auto"/>
              <w:jc w:val="right"/>
            </w:pPr>
            <w:r>
              <w:rPr>
                <w:b w:val="0"/>
                <w:color w:val="0B0B0B"/>
                <w:sz w:val="15"/>
              </w:rPr>
              <w:t>9,030</w:t>
            </w:r>
          </w:p>
        </w:tc>
        <w:tc>
          <w:tcPr>
            <w:tcW w:type="dxa" w:w="880"/>
            <w:shd w:val="clear" w:color="auto" w:fill="EEF3FA"/>
          </w:tcPr>
          <w:p>
            <w:pPr>
              <w:spacing w:before="32" w:after="32" w:line="240" w:lineRule="auto"/>
              <w:jc w:val="right"/>
            </w:pPr>
            <w:r>
              <w:rPr>
                <w:b w:val="0"/>
                <w:color w:val="0B0B0B"/>
                <w:sz w:val="15"/>
              </w:rPr>
              <w:t>10,643</w:t>
            </w:r>
          </w:p>
        </w:tc>
        <w:tc>
          <w:tcPr>
            <w:tcW w:type="dxa" w:w="880"/>
            <w:shd w:val="clear" w:color="auto" w:fill="EEF3FA"/>
          </w:tcPr>
          <w:p>
            <w:pPr>
              <w:spacing w:before="32" w:after="32" w:line="240" w:lineRule="auto"/>
              <w:jc w:val="right"/>
            </w:pPr>
            <w:r>
              <w:rPr>
                <w:b w:val="0"/>
                <w:color w:val="0B0B0B"/>
                <w:sz w:val="15"/>
              </w:rPr>
              <w:t>7,689</w:t>
            </w:r>
          </w:p>
        </w:tc>
        <w:tc>
          <w:tcPr>
            <w:tcW w:type="dxa" w:w="880"/>
            <w:shd w:val="clear" w:color="auto" w:fill="EEF3FA"/>
          </w:tcPr>
          <w:p>
            <w:pPr>
              <w:spacing w:before="32" w:after="32" w:line="240" w:lineRule="auto"/>
              <w:jc w:val="right"/>
            </w:pPr>
            <w:r>
              <w:rPr>
                <w:b w:val="0"/>
                <w:color w:val="0B0B0B"/>
                <w:sz w:val="15"/>
              </w:rPr>
              <w:t>9,070</w:t>
            </w:r>
          </w:p>
        </w:tc>
        <w:tc>
          <w:tcPr>
            <w:tcW w:type="dxa" w:w="880"/>
            <w:shd w:val="clear" w:color="auto" w:fill="EEF3FA"/>
          </w:tcPr>
          <w:p>
            <w:pPr>
              <w:spacing w:before="32" w:after="32" w:line="240" w:lineRule="auto"/>
              <w:jc w:val="right"/>
            </w:pPr>
            <w:r>
              <w:rPr>
                <w:b w:val="0"/>
                <w:color w:val="0B0B0B"/>
                <w:sz w:val="15"/>
              </w:rPr>
              <w:t>4,328</w:t>
            </w:r>
          </w:p>
        </w:tc>
      </w:tr>
      <w:tr>
        <w:tc>
          <w:tcPr>
            <w:tcW w:type="dxa" w:w="2287"/>
          </w:tcPr>
          <w:p>
            <w:pPr>
              <w:spacing w:before="32" w:after="32" w:line="240" w:lineRule="auto"/>
              <w:jc w:val="left"/>
            </w:pPr>
            <w:r>
              <w:rPr>
                <w:b/>
                <w:color w:val="0B0B0B"/>
                <w:sz w:val="15"/>
              </w:rPr>
              <w:t>Net debt</w:t>
            </w:r>
          </w:p>
        </w:tc>
        <w:tc>
          <w:tcPr>
            <w:tcW w:type="dxa" w:w="880"/>
          </w:tcPr>
          <w:p>
            <w:pPr>
              <w:spacing w:before="32" w:after="32" w:line="240" w:lineRule="auto"/>
              <w:jc w:val="right"/>
            </w:pPr>
            <w:r>
              <w:rPr>
                <w:b/>
                <w:color w:val="0B0B0B"/>
                <w:sz w:val="15"/>
              </w:rPr>
              <w:t>7,758</w:t>
            </w:r>
          </w:p>
        </w:tc>
        <w:tc>
          <w:tcPr>
            <w:tcW w:type="dxa" w:w="880"/>
          </w:tcPr>
          <w:p>
            <w:pPr>
              <w:spacing w:before="32" w:after="32" w:line="240" w:lineRule="auto"/>
              <w:jc w:val="right"/>
            </w:pPr>
            <w:r>
              <w:rPr>
                <w:b/>
                <w:color w:val="0B0B0B"/>
                <w:sz w:val="15"/>
              </w:rPr>
              <w:t>20,803</w:t>
            </w:r>
          </w:p>
        </w:tc>
        <w:tc>
          <w:tcPr>
            <w:tcW w:type="dxa" w:w="880"/>
          </w:tcPr>
          <w:p>
            <w:pPr>
              <w:spacing w:before="32" w:after="32" w:line="240" w:lineRule="auto"/>
              <w:jc w:val="right"/>
            </w:pPr>
            <w:r>
              <w:rPr>
                <w:b/>
                <w:color w:val="0B0B0B"/>
                <w:sz w:val="15"/>
              </w:rPr>
              <w:t>27,120</w:t>
            </w:r>
          </w:p>
        </w:tc>
        <w:tc>
          <w:tcPr>
            <w:tcW w:type="dxa" w:w="880"/>
          </w:tcPr>
          <w:p>
            <w:pPr>
              <w:spacing w:before="32" w:after="32" w:line="240" w:lineRule="auto"/>
              <w:jc w:val="right"/>
            </w:pPr>
            <w:r>
              <w:rPr>
                <w:b/>
                <w:color w:val="0B0B0B"/>
                <w:sz w:val="15"/>
              </w:rPr>
              <w:t>44,926</w:t>
            </w:r>
          </w:p>
        </w:tc>
        <w:tc>
          <w:tcPr>
            <w:tcW w:type="dxa" w:w="880"/>
          </w:tcPr>
          <w:p>
            <w:pPr>
              <w:spacing w:before="32" w:after="32" w:line="240" w:lineRule="auto"/>
              <w:jc w:val="right"/>
            </w:pPr>
            <w:r>
              <w:rPr>
                <w:b/>
                <w:color w:val="0B0B0B"/>
                <w:sz w:val="15"/>
              </w:rPr>
              <w:t>70,081</w:t>
            </w:r>
          </w:p>
        </w:tc>
        <w:tc>
          <w:tcPr>
            <w:tcW w:type="dxa" w:w="880"/>
          </w:tcPr>
          <w:p>
            <w:pPr>
              <w:spacing w:before="32" w:after="32" w:line="240" w:lineRule="auto"/>
              <w:jc w:val="right"/>
            </w:pPr>
            <w:r>
              <w:rPr>
                <w:b/>
                <w:color w:val="0B0B0B"/>
                <w:sz w:val="15"/>
              </w:rPr>
              <w:t>78,303</w:t>
            </w:r>
          </w:p>
        </w:tc>
        <w:tc>
          <w:tcPr>
            <w:tcW w:type="dxa" w:w="880"/>
          </w:tcPr>
          <w:p>
            <w:pPr>
              <w:spacing w:before="32" w:after="32" w:line="240" w:lineRule="auto"/>
              <w:jc w:val="right"/>
            </w:pPr>
            <w:r>
              <w:rPr>
                <w:b/>
                <w:color w:val="0B0B0B"/>
                <w:sz w:val="15"/>
              </w:rPr>
              <w:t>89,934</w:t>
            </w:r>
          </w:p>
        </w:tc>
        <w:tc>
          <w:tcPr>
            <w:tcW w:type="dxa" w:w="880"/>
          </w:tcPr>
          <w:p>
            <w:pPr>
              <w:spacing w:before="32" w:after="32" w:line="240" w:lineRule="auto"/>
              <w:jc w:val="right"/>
            </w:pPr>
            <w:r>
              <w:rPr>
                <w:b/>
                <w:color w:val="0B0B0B"/>
                <w:sz w:val="15"/>
              </w:rPr>
              <w:t>101,864</w:t>
            </w:r>
          </w:p>
        </w:tc>
        <w:tc>
          <w:tcPr>
            <w:tcW w:type="dxa" w:w="880"/>
          </w:tcPr>
          <w:p>
            <w:pPr>
              <w:spacing w:before="32" w:after="32" w:line="240" w:lineRule="auto"/>
              <w:jc w:val="right"/>
            </w:pPr>
            <w:r>
              <w:rPr>
                <w:b/>
                <w:color w:val="0B0B0B"/>
                <w:sz w:val="15"/>
              </w:rPr>
              <w:t>115,314</w:t>
            </w:r>
          </w:p>
        </w:tc>
      </w:tr>
      <w:tr>
        <w:tc>
          <w:tcPr>
            <w:tcW w:type="dxa" w:w="2287"/>
            <w:shd w:val="clear" w:color="auto" w:fill="EEF3FA"/>
          </w:tcPr>
          <w:p>
            <w:pPr>
              <w:spacing w:before="32" w:after="32" w:line="240" w:lineRule="auto"/>
              <w:jc w:val="left"/>
            </w:pPr>
            <w:r>
              <w:rPr>
                <w:b/>
                <w:color w:val="0B0B0B"/>
                <w:sz w:val="15"/>
              </w:rPr>
              <w:t>Net debt / EBITDA</w:t>
            </w:r>
          </w:p>
        </w:tc>
        <w:tc>
          <w:tcPr>
            <w:tcW w:type="dxa" w:w="880"/>
            <w:shd w:val="clear" w:color="auto" w:fill="EEF3FA"/>
          </w:tcPr>
          <w:p>
            <w:pPr>
              <w:spacing w:before="32" w:after="32" w:line="240" w:lineRule="auto"/>
              <w:jc w:val="right"/>
            </w:pPr>
            <w:r>
              <w:rPr>
                <w:b/>
                <w:color w:val="0B0B0B"/>
                <w:sz w:val="15"/>
              </w:rPr>
              <w:t>2.17x</w:t>
            </w:r>
          </w:p>
        </w:tc>
        <w:tc>
          <w:tcPr>
            <w:tcW w:type="dxa" w:w="880"/>
            <w:shd w:val="clear" w:color="auto" w:fill="EEF3FA"/>
          </w:tcPr>
          <w:p>
            <w:pPr>
              <w:spacing w:before="32" w:after="32" w:line="240" w:lineRule="auto"/>
              <w:jc w:val="right"/>
            </w:pPr>
            <w:r>
              <w:rPr>
                <w:b/>
                <w:color w:val="0B0B0B"/>
                <w:sz w:val="15"/>
              </w:rPr>
              <w:t>6.34x</w:t>
            </w:r>
          </w:p>
        </w:tc>
        <w:tc>
          <w:tcPr>
            <w:tcW w:type="dxa" w:w="880"/>
            <w:shd w:val="clear" w:color="auto" w:fill="EEF3FA"/>
          </w:tcPr>
          <w:p>
            <w:pPr>
              <w:spacing w:before="32" w:after="32" w:line="240" w:lineRule="auto"/>
              <w:jc w:val="right"/>
            </w:pPr>
            <w:r>
              <w:rPr>
                <w:b/>
                <w:color w:val="0B0B0B"/>
                <w:sz w:val="15"/>
              </w:rPr>
              <w:t>5.04x</w:t>
            </w:r>
          </w:p>
        </w:tc>
        <w:tc>
          <w:tcPr>
            <w:tcW w:type="dxa" w:w="880"/>
            <w:shd w:val="clear" w:color="auto" w:fill="EEF3FA"/>
          </w:tcPr>
          <w:p>
            <w:pPr>
              <w:spacing w:before="32" w:after="32" w:line="240" w:lineRule="auto"/>
              <w:jc w:val="right"/>
            </w:pPr>
            <w:r>
              <w:rPr>
                <w:b/>
                <w:color w:val="0B0B0B"/>
                <w:sz w:val="15"/>
              </w:rPr>
              <w:t>8.61x</w:t>
            </w:r>
          </w:p>
        </w:tc>
        <w:tc>
          <w:tcPr>
            <w:tcW w:type="dxa" w:w="880"/>
            <w:shd w:val="clear" w:color="auto" w:fill="EEF3FA"/>
          </w:tcPr>
          <w:p>
            <w:pPr>
              <w:spacing w:before="32" w:after="32" w:line="240" w:lineRule="auto"/>
              <w:jc w:val="right"/>
            </w:pPr>
            <w:r>
              <w:rPr>
                <w:b/>
                <w:color w:val="0B0B0B"/>
                <w:sz w:val="15"/>
              </w:rPr>
              <w:t>6.96x</w:t>
            </w:r>
          </w:p>
        </w:tc>
        <w:tc>
          <w:tcPr>
            <w:tcW w:type="dxa" w:w="880"/>
            <w:shd w:val="clear" w:color="auto" w:fill="EEF3FA"/>
          </w:tcPr>
          <w:p>
            <w:pPr>
              <w:spacing w:before="32" w:after="32" w:line="240" w:lineRule="auto"/>
              <w:jc w:val="right"/>
            </w:pPr>
            <w:r>
              <w:rPr>
                <w:b/>
                <w:color w:val="0B0B0B"/>
                <w:sz w:val="15"/>
              </w:rPr>
              <w:t>6.05x</w:t>
            </w:r>
          </w:p>
        </w:tc>
        <w:tc>
          <w:tcPr>
            <w:tcW w:type="dxa" w:w="880"/>
            <w:shd w:val="clear" w:color="auto" w:fill="EEF3FA"/>
          </w:tcPr>
          <w:p>
            <w:pPr>
              <w:spacing w:before="32" w:after="32" w:line="240" w:lineRule="auto"/>
              <w:jc w:val="right"/>
            </w:pPr>
            <w:r>
              <w:rPr>
                <w:b/>
                <w:color w:val="0B0B0B"/>
                <w:sz w:val="15"/>
              </w:rPr>
              <w:t>5.64x</w:t>
            </w:r>
          </w:p>
        </w:tc>
        <w:tc>
          <w:tcPr>
            <w:tcW w:type="dxa" w:w="880"/>
            <w:shd w:val="clear" w:color="auto" w:fill="EEF3FA"/>
          </w:tcPr>
          <w:p>
            <w:pPr>
              <w:spacing w:before="32" w:after="32" w:line="240" w:lineRule="auto"/>
              <w:jc w:val="right"/>
            </w:pPr>
            <w:r>
              <w:rPr>
                <w:b/>
                <w:color w:val="0B0B0B"/>
                <w:sz w:val="15"/>
              </w:rPr>
              <w:t>5.04x</w:t>
            </w:r>
          </w:p>
        </w:tc>
        <w:tc>
          <w:tcPr>
            <w:tcW w:type="dxa" w:w="880"/>
            <w:shd w:val="clear" w:color="auto" w:fill="EEF3FA"/>
          </w:tcPr>
          <w:p>
            <w:pPr>
              <w:spacing w:before="32" w:after="32" w:line="240" w:lineRule="auto"/>
              <w:jc w:val="right"/>
            </w:pPr>
            <w:r>
              <w:rPr>
                <w:b/>
                <w:color w:val="0B0B0B"/>
                <w:sz w:val="15"/>
              </w:rPr>
              <w:t>4.90x</w:t>
            </w:r>
          </w:p>
        </w:tc>
      </w:tr>
      <w:tr>
        <w:tc>
          <w:tcPr>
            <w:tcW w:type="dxa" w:w="2287"/>
          </w:tcPr>
          <w:p>
            <w:pPr>
              <w:spacing w:before="32" w:after="32" w:line="240" w:lineRule="auto"/>
              <w:jc w:val="left"/>
            </w:pPr>
            <w:r>
              <w:rPr>
                <w:b w:val="0"/>
                <w:color w:val="0B0B0B"/>
                <w:sz w:val="15"/>
              </w:rPr>
              <w:t>Net debt / equity</w:t>
            </w:r>
          </w:p>
        </w:tc>
        <w:tc>
          <w:tcPr>
            <w:tcW w:type="dxa" w:w="880"/>
          </w:tcPr>
          <w:p>
            <w:pPr>
              <w:spacing w:before="32" w:after="32" w:line="240" w:lineRule="auto"/>
              <w:jc w:val="right"/>
            </w:pPr>
            <w:r>
              <w:rPr>
                <w:b w:val="0"/>
                <w:color w:val="0B0B0B"/>
                <w:sz w:val="15"/>
              </w:rPr>
              <w:t>0.45x</w:t>
            </w:r>
          </w:p>
        </w:tc>
        <w:tc>
          <w:tcPr>
            <w:tcW w:type="dxa" w:w="880"/>
          </w:tcPr>
          <w:p>
            <w:pPr>
              <w:spacing w:before="32" w:after="32" w:line="240" w:lineRule="auto"/>
              <w:jc w:val="right"/>
            </w:pPr>
            <w:r>
              <w:rPr>
                <w:b w:val="0"/>
                <w:color w:val="0B0B0B"/>
                <w:sz w:val="15"/>
              </w:rPr>
              <w:t>1.12x</w:t>
            </w:r>
          </w:p>
        </w:tc>
        <w:tc>
          <w:tcPr>
            <w:tcW w:type="dxa" w:w="880"/>
          </w:tcPr>
          <w:p>
            <w:pPr>
              <w:spacing w:before="32" w:after="32" w:line="240" w:lineRule="auto"/>
              <w:jc w:val="right"/>
            </w:pPr>
            <w:r>
              <w:rPr>
                <w:b w:val="0"/>
                <w:color w:val="0B0B0B"/>
                <w:sz w:val="15"/>
              </w:rPr>
              <w:t>1.30x</w:t>
            </w:r>
          </w:p>
        </w:tc>
        <w:tc>
          <w:tcPr>
            <w:tcW w:type="dxa" w:w="880"/>
          </w:tcPr>
          <w:p>
            <w:pPr>
              <w:spacing w:before="32" w:after="32" w:line="240" w:lineRule="auto"/>
              <w:jc w:val="right"/>
            </w:pPr>
            <w:r>
              <w:rPr>
                <w:b w:val="0"/>
                <w:color w:val="0B0B0B"/>
                <w:sz w:val="15"/>
              </w:rPr>
              <w:t>1.64x</w:t>
            </w:r>
          </w:p>
        </w:tc>
        <w:tc>
          <w:tcPr>
            <w:tcW w:type="dxa" w:w="880"/>
          </w:tcPr>
          <w:p>
            <w:pPr>
              <w:spacing w:before="32" w:after="32" w:line="240" w:lineRule="auto"/>
              <w:jc w:val="right"/>
            </w:pPr>
            <w:r>
              <w:rPr>
                <w:b w:val="0"/>
                <w:color w:val="0B0B0B"/>
                <w:sz w:val="15"/>
              </w:rPr>
              <w:t>2.28x</w:t>
            </w:r>
          </w:p>
        </w:tc>
        <w:tc>
          <w:tcPr>
            <w:tcW w:type="dxa" w:w="880"/>
          </w:tcPr>
          <w:p>
            <w:pPr>
              <w:spacing w:before="32" w:after="32" w:line="240" w:lineRule="auto"/>
              <w:jc w:val="right"/>
            </w:pPr>
            <w:r>
              <w:rPr>
                <w:b w:val="0"/>
                <w:color w:val="0B0B0B"/>
                <w:sz w:val="15"/>
              </w:rPr>
              <w:t>2.11x</w:t>
            </w:r>
          </w:p>
        </w:tc>
        <w:tc>
          <w:tcPr>
            <w:tcW w:type="dxa" w:w="880"/>
          </w:tcPr>
          <w:p>
            <w:pPr>
              <w:spacing w:before="32" w:after="32" w:line="240" w:lineRule="auto"/>
              <w:jc w:val="right"/>
            </w:pPr>
            <w:r>
              <w:rPr>
                <w:b w:val="0"/>
                <w:color w:val="0B0B0B"/>
                <w:sz w:val="15"/>
              </w:rPr>
              <w:t>2.13x</w:t>
            </w:r>
          </w:p>
        </w:tc>
        <w:tc>
          <w:tcPr>
            <w:tcW w:type="dxa" w:w="880"/>
          </w:tcPr>
          <w:p>
            <w:pPr>
              <w:spacing w:before="32" w:after="32" w:line="240" w:lineRule="auto"/>
              <w:jc w:val="right"/>
            </w:pPr>
            <w:r>
              <w:rPr>
                <w:b w:val="0"/>
                <w:color w:val="0B0B0B"/>
                <w:sz w:val="15"/>
              </w:rPr>
              <w:t>2.19x</w:t>
            </w:r>
          </w:p>
        </w:tc>
        <w:tc>
          <w:tcPr>
            <w:tcW w:type="dxa" w:w="880"/>
          </w:tcPr>
          <w:p>
            <w:pPr>
              <w:spacing w:before="32" w:after="32" w:line="240" w:lineRule="auto"/>
              <w:jc w:val="right"/>
            </w:pPr>
            <w:r>
              <w:rPr>
                <w:b w:val="0"/>
                <w:color w:val="0B0B0B"/>
                <w:sz w:val="15"/>
              </w:rPr>
              <w:t>2.23x</w:t>
            </w:r>
          </w:p>
        </w:tc>
      </w:tr>
      <w:tr>
        <w:tc>
          <w:tcPr>
            <w:tcW w:type="dxa" w:w="2287"/>
            <w:shd w:val="clear" w:color="auto" w:fill="EEF3FA"/>
          </w:tcPr>
          <w:p>
            <w:pPr>
              <w:spacing w:before="32" w:after="32" w:line="240" w:lineRule="auto"/>
              <w:jc w:val="left"/>
            </w:pPr>
            <w:r>
              <w:rPr>
                <w:b w:val="0"/>
                <w:color w:val="0B0B0B"/>
                <w:sz w:val="15"/>
              </w:rPr>
              <w:t>Interest cover (EBITDA/interest)</w:t>
            </w:r>
          </w:p>
        </w:tc>
        <w:tc>
          <w:tcPr>
            <w:tcW w:type="dxa" w:w="880"/>
            <w:shd w:val="clear" w:color="auto" w:fill="EEF3FA"/>
          </w:tcPr>
          <w:p>
            <w:pPr>
              <w:spacing w:before="32" w:after="32" w:line="240" w:lineRule="auto"/>
              <w:jc w:val="right"/>
            </w:pPr>
            <w:r>
              <w:rPr>
                <w:b w:val="0"/>
                <w:color w:val="0B0B0B"/>
                <w:sz w:val="15"/>
              </w:rPr>
              <w:t>3.80x</w:t>
            </w:r>
          </w:p>
        </w:tc>
        <w:tc>
          <w:tcPr>
            <w:tcW w:type="dxa" w:w="880"/>
            <w:shd w:val="clear" w:color="auto" w:fill="EEF3FA"/>
          </w:tcPr>
          <w:p>
            <w:pPr>
              <w:spacing w:before="32" w:after="32" w:line="240" w:lineRule="auto"/>
              <w:jc w:val="right"/>
            </w:pPr>
            <w:r>
              <w:rPr>
                <w:b w:val="0"/>
                <w:color w:val="0B0B0B"/>
                <w:sz w:val="15"/>
              </w:rPr>
              <w:t>2.47x</w:t>
            </w:r>
          </w:p>
        </w:tc>
        <w:tc>
          <w:tcPr>
            <w:tcW w:type="dxa" w:w="880"/>
            <w:shd w:val="clear" w:color="auto" w:fill="EEF3FA"/>
          </w:tcPr>
          <w:p>
            <w:pPr>
              <w:spacing w:before="32" w:after="32" w:line="240" w:lineRule="auto"/>
              <w:jc w:val="right"/>
            </w:pPr>
            <w:r>
              <w:rPr>
                <w:b w:val="0"/>
                <w:color w:val="0B0B0B"/>
                <w:sz w:val="15"/>
              </w:rPr>
              <w:t>3.04x</w:t>
            </w:r>
          </w:p>
        </w:tc>
        <w:tc>
          <w:tcPr>
            <w:tcW w:type="dxa" w:w="880"/>
            <w:shd w:val="clear" w:color="auto" w:fill="EEF3FA"/>
          </w:tcPr>
          <w:p>
            <w:pPr>
              <w:spacing w:before="32" w:after="32" w:line="240" w:lineRule="auto"/>
              <w:jc w:val="right"/>
            </w:pPr>
            <w:r>
              <w:rPr>
                <w:b w:val="0"/>
                <w:color w:val="0B0B0B"/>
                <w:sz w:val="15"/>
              </w:rPr>
              <w:t>1.69x</w:t>
            </w:r>
          </w:p>
        </w:tc>
        <w:tc>
          <w:tcPr>
            <w:tcW w:type="dxa" w:w="880"/>
            <w:shd w:val="clear" w:color="auto" w:fill="EEF3FA"/>
          </w:tcPr>
          <w:p>
            <w:pPr>
              <w:spacing w:before="32" w:after="32" w:line="240" w:lineRule="auto"/>
              <w:jc w:val="right"/>
            </w:pPr>
            <w:r>
              <w:rPr>
                <w:b w:val="0"/>
                <w:color w:val="0B0B0B"/>
                <w:sz w:val="15"/>
              </w:rPr>
              <w:t>1.70x</w:t>
            </w:r>
          </w:p>
        </w:tc>
        <w:tc>
          <w:tcPr>
            <w:tcW w:type="dxa" w:w="880"/>
            <w:shd w:val="clear" w:color="auto" w:fill="EEF3FA"/>
          </w:tcPr>
          <w:p>
            <w:pPr>
              <w:spacing w:before="32" w:after="32" w:line="240" w:lineRule="auto"/>
              <w:jc w:val="right"/>
            </w:pPr>
            <w:r>
              <w:rPr>
                <w:b w:val="0"/>
                <w:color w:val="0B0B0B"/>
                <w:sz w:val="15"/>
              </w:rPr>
              <w:t>2.05x</w:t>
            </w:r>
          </w:p>
        </w:tc>
        <w:tc>
          <w:tcPr>
            <w:tcW w:type="dxa" w:w="880"/>
            <w:shd w:val="clear" w:color="auto" w:fill="EEF3FA"/>
          </w:tcPr>
          <w:p>
            <w:pPr>
              <w:spacing w:before="32" w:after="32" w:line="240" w:lineRule="auto"/>
              <w:jc w:val="right"/>
            </w:pPr>
            <w:r>
              <w:rPr>
                <w:b w:val="0"/>
                <w:color w:val="0B0B0B"/>
                <w:sz w:val="15"/>
              </w:rPr>
              <w:t>2.17x</w:t>
            </w:r>
          </w:p>
        </w:tc>
        <w:tc>
          <w:tcPr>
            <w:tcW w:type="dxa" w:w="880"/>
            <w:shd w:val="clear" w:color="auto" w:fill="EEF3FA"/>
          </w:tcPr>
          <w:p>
            <w:pPr>
              <w:spacing w:before="32" w:after="32" w:line="240" w:lineRule="auto"/>
              <w:jc w:val="right"/>
            </w:pPr>
            <w:r>
              <w:rPr>
                <w:b w:val="0"/>
                <w:color w:val="0B0B0B"/>
                <w:sz w:val="15"/>
              </w:rPr>
              <w:t>2.09x</w:t>
            </w:r>
          </w:p>
        </w:tc>
        <w:tc>
          <w:tcPr>
            <w:tcW w:type="dxa" w:w="880"/>
            <w:shd w:val="clear" w:color="auto" w:fill="EEF3FA"/>
          </w:tcPr>
          <w:p>
            <w:pPr>
              <w:spacing w:before="32" w:after="32" w:line="240" w:lineRule="auto"/>
              <w:jc w:val="right"/>
            </w:pPr>
            <w:r>
              <w:rPr>
                <w:b w:val="0"/>
                <w:color w:val="0B0B0B"/>
                <w:sz w:val="15"/>
              </w:rPr>
              <w:t>2.17x</w:t>
            </w:r>
          </w:p>
        </w:tc>
      </w:tr>
      <w:tr>
        <w:tc>
          <w:tcPr>
            <w:tcW w:type="dxa" w:w="2287"/>
          </w:tcPr>
          <w:p>
            <w:pPr>
              <w:spacing w:before="32" w:after="32" w:line="240" w:lineRule="auto"/>
              <w:jc w:val="left"/>
            </w:pPr>
            <w:r>
              <w:rPr>
                <w:b w:val="0"/>
                <w:color w:val="0B0B0B"/>
                <w:sz w:val="15"/>
              </w:rPr>
              <w:t>Implied cost of debt</w:t>
            </w:r>
          </w:p>
        </w:tc>
        <w:tc>
          <w:tcPr>
            <w:tcW w:type="dxa" w:w="880"/>
          </w:tcPr>
          <w:p>
            <w:pPr>
              <w:spacing w:before="32" w:after="32" w:line="240" w:lineRule="auto"/>
              <w:jc w:val="right"/>
            </w:pPr>
            <w:r>
              <w:rPr>
                <w:b w:val="0"/>
                <w:color w:val="0B0B0B"/>
                <w:sz w:val="15"/>
              </w:rPr>
              <w:t>n/a</w:t>
            </w:r>
          </w:p>
        </w:tc>
        <w:tc>
          <w:tcPr>
            <w:tcW w:type="dxa" w:w="880"/>
          </w:tcPr>
          <w:p>
            <w:pPr>
              <w:spacing w:before="32" w:after="32" w:line="240" w:lineRule="auto"/>
              <w:jc w:val="right"/>
            </w:pPr>
            <w:r>
              <w:rPr>
                <w:b w:val="0"/>
                <w:color w:val="0B0B0B"/>
                <w:sz w:val="15"/>
              </w:rPr>
              <w:t>5.0%</w:t>
            </w:r>
          </w:p>
        </w:tc>
        <w:tc>
          <w:tcPr>
            <w:tcW w:type="dxa" w:w="880"/>
          </w:tcPr>
          <w:p>
            <w:pPr>
              <w:spacing w:before="32" w:after="32" w:line="240" w:lineRule="auto"/>
              <w:jc w:val="right"/>
            </w:pPr>
            <w:r>
              <w:rPr>
                <w:b w:val="0"/>
                <w:color w:val="0B0B0B"/>
                <w:sz w:val="15"/>
              </w:rPr>
              <w:t>7.3%</w:t>
            </w:r>
          </w:p>
        </w:tc>
        <w:tc>
          <w:tcPr>
            <w:tcW w:type="dxa" w:w="880"/>
          </w:tcPr>
          <w:p>
            <w:pPr>
              <w:spacing w:before="32" w:after="32" w:line="240" w:lineRule="auto"/>
              <w:jc w:val="right"/>
            </w:pPr>
            <w:r>
              <w:rPr>
                <w:b w:val="0"/>
                <w:color w:val="0B0B0B"/>
                <w:sz w:val="15"/>
              </w:rPr>
              <w:t>5.6%</w:t>
            </w:r>
          </w:p>
        </w:tc>
        <w:tc>
          <w:tcPr>
            <w:tcW w:type="dxa" w:w="880"/>
          </w:tcPr>
          <w:p>
            <w:pPr>
              <w:spacing w:before="32" w:after="32" w:line="240" w:lineRule="auto"/>
              <w:jc w:val="right"/>
            </w:pPr>
            <w:r>
              <w:rPr>
                <w:b w:val="0"/>
                <w:color w:val="0B0B0B"/>
                <w:sz w:val="15"/>
              </w:rPr>
              <w:t>9.3%</w:t>
            </w:r>
          </w:p>
        </w:tc>
        <w:tc>
          <w:tcPr>
            <w:tcW w:type="dxa" w:w="880"/>
          </w:tcPr>
          <w:p>
            <w:pPr>
              <w:spacing w:before="32" w:after="32" w:line="240" w:lineRule="auto"/>
              <w:jc w:val="right"/>
            </w:pPr>
            <w:r>
              <w:rPr>
                <w:b w:val="0"/>
                <w:color w:val="0B0B0B"/>
                <w:sz w:val="15"/>
              </w:rPr>
              <w:t>7.7%</w:t>
            </w:r>
          </w:p>
        </w:tc>
        <w:tc>
          <w:tcPr>
            <w:tcW w:type="dxa" w:w="880"/>
          </w:tcPr>
          <w:p>
            <w:pPr>
              <w:spacing w:before="32" w:after="32" w:line="240" w:lineRule="auto"/>
              <w:jc w:val="right"/>
            </w:pPr>
            <w:r>
              <w:rPr>
                <w:b w:val="0"/>
                <w:color w:val="0B0B0B"/>
                <w:sz w:val="15"/>
              </w:rPr>
              <w:t>8.3%</w:t>
            </w:r>
          </w:p>
        </w:tc>
        <w:tc>
          <w:tcPr>
            <w:tcW w:type="dxa" w:w="880"/>
          </w:tcPr>
          <w:p>
            <w:pPr>
              <w:spacing w:before="32" w:after="32" w:line="240" w:lineRule="auto"/>
              <w:jc w:val="right"/>
            </w:pPr>
            <w:r>
              <w:rPr>
                <w:b w:val="0"/>
                <w:color w:val="0B0B0B"/>
                <w:sz w:val="15"/>
              </w:rPr>
              <w:t>9.2%</w:t>
            </w:r>
          </w:p>
        </w:tc>
        <w:tc>
          <w:tcPr>
            <w:tcW w:type="dxa" w:w="880"/>
          </w:tcPr>
          <w:p>
            <w:pPr>
              <w:spacing w:before="32" w:after="32" w:line="240" w:lineRule="auto"/>
              <w:jc w:val="right"/>
            </w:pPr>
            <w:r>
              <w:rPr>
                <w:b w:val="0"/>
                <w:color w:val="0B0B0B"/>
                <w:sz w:val="15"/>
              </w:rPr>
              <w:t>9.0%</w:t>
            </w:r>
          </w:p>
        </w:tc>
      </w:tr>
      <w:tr>
        <w:tc>
          <w:tcPr>
            <w:tcW w:type="dxa" w:w="2287"/>
            <w:shd w:val="clear" w:color="auto" w:fill="EEF3FA"/>
          </w:tcPr>
          <w:p>
            <w:pPr>
              <w:spacing w:before="32" w:after="32" w:line="240" w:lineRule="auto"/>
              <w:jc w:val="left"/>
            </w:pPr>
            <w:r>
              <w:rPr>
                <w:b w:val="0"/>
                <w:color w:val="0B0B0B"/>
                <w:sz w:val="15"/>
              </w:rPr>
              <w:t>Reported weighted avg cost of debt</w:t>
            </w:r>
          </w:p>
        </w:tc>
        <w:tc>
          <w:tcPr>
            <w:tcW w:type="dxa" w:w="880"/>
            <w:shd w:val="clear" w:color="auto" w:fill="EEF3FA"/>
          </w:tcPr>
          <w:p>
            <w:pPr>
              <w:spacing w:before="32" w:after="32" w:line="240" w:lineRule="auto"/>
              <w:jc w:val="right"/>
            </w:pPr>
            <w:r>
              <w:rPr>
                <w:b w:val="0"/>
                <w:color w:val="0B0B0B"/>
                <w:sz w:val="15"/>
              </w:rPr>
            </w:r>
          </w:p>
        </w:tc>
        <w:tc>
          <w:tcPr>
            <w:tcW w:type="dxa" w:w="880"/>
            <w:shd w:val="clear" w:color="auto" w:fill="EEF3FA"/>
          </w:tcPr>
          <w:p>
            <w:pPr>
              <w:spacing w:before="32" w:after="32" w:line="240" w:lineRule="auto"/>
              <w:jc w:val="right"/>
            </w:pPr>
            <w:r>
              <w:rPr>
                <w:b w:val="0"/>
                <w:color w:val="0B0B0B"/>
                <w:sz w:val="15"/>
              </w:rPr>
            </w:r>
          </w:p>
        </w:tc>
        <w:tc>
          <w:tcPr>
            <w:tcW w:type="dxa" w:w="880"/>
            <w:shd w:val="clear" w:color="auto" w:fill="EEF3FA"/>
          </w:tcPr>
          <w:p>
            <w:pPr>
              <w:spacing w:before="32" w:after="32" w:line="240" w:lineRule="auto"/>
              <w:jc w:val="right"/>
            </w:pPr>
            <w:r>
              <w:rPr>
                <w:b w:val="0"/>
                <w:color w:val="0B0B0B"/>
                <w:sz w:val="15"/>
              </w:rPr>
            </w:r>
          </w:p>
        </w:tc>
        <w:tc>
          <w:tcPr>
            <w:tcW w:type="dxa" w:w="880"/>
            <w:shd w:val="clear" w:color="auto" w:fill="EEF3FA"/>
          </w:tcPr>
          <w:p>
            <w:pPr>
              <w:spacing w:before="32" w:after="32" w:line="240" w:lineRule="auto"/>
              <w:jc w:val="right"/>
            </w:pPr>
            <w:r>
              <w:rPr>
                <w:b w:val="0"/>
                <w:color w:val="0B0B0B"/>
                <w:sz w:val="15"/>
              </w:rPr>
            </w:r>
          </w:p>
        </w:tc>
        <w:tc>
          <w:tcPr>
            <w:tcW w:type="dxa" w:w="880"/>
            <w:shd w:val="clear" w:color="auto" w:fill="EEF3FA"/>
          </w:tcPr>
          <w:p>
            <w:pPr>
              <w:spacing w:before="32" w:after="32" w:line="240" w:lineRule="auto"/>
              <w:jc w:val="right"/>
            </w:pPr>
            <w:r>
              <w:rPr>
                <w:b w:val="0"/>
                <w:color w:val="0B0B0B"/>
                <w:sz w:val="15"/>
              </w:rPr>
              <w:t>8.36%</w:t>
            </w:r>
          </w:p>
        </w:tc>
        <w:tc>
          <w:tcPr>
            <w:tcW w:type="dxa" w:w="880"/>
            <w:shd w:val="clear" w:color="auto" w:fill="EEF3FA"/>
          </w:tcPr>
          <w:p>
            <w:pPr>
              <w:spacing w:before="32" w:after="32" w:line="240" w:lineRule="auto"/>
              <w:jc w:val="right"/>
            </w:pPr>
            <w:r>
              <w:rPr>
                <w:b w:val="0"/>
                <w:color w:val="0B0B0B"/>
                <w:sz w:val="15"/>
              </w:rPr>
            </w:r>
          </w:p>
        </w:tc>
        <w:tc>
          <w:tcPr>
            <w:tcW w:type="dxa" w:w="880"/>
            <w:shd w:val="clear" w:color="auto" w:fill="EEF3FA"/>
          </w:tcPr>
          <w:p>
            <w:pPr>
              <w:spacing w:before="32" w:after="32" w:line="240" w:lineRule="auto"/>
              <w:jc w:val="right"/>
            </w:pPr>
            <w:r>
              <w:rPr>
                <w:b w:val="0"/>
                <w:color w:val="0B0B0B"/>
                <w:sz w:val="15"/>
              </w:rPr>
            </w:r>
          </w:p>
        </w:tc>
        <w:tc>
          <w:tcPr>
            <w:tcW w:type="dxa" w:w="880"/>
            <w:shd w:val="clear" w:color="auto" w:fill="EEF3FA"/>
          </w:tcPr>
          <w:p>
            <w:pPr>
              <w:spacing w:before="32" w:after="32" w:line="240" w:lineRule="auto"/>
              <w:jc w:val="right"/>
            </w:pPr>
            <w:r>
              <w:rPr>
                <w:b w:val="0"/>
                <w:color w:val="0B0B0B"/>
                <w:sz w:val="15"/>
              </w:rPr>
            </w:r>
          </w:p>
        </w:tc>
        <w:tc>
          <w:tcPr>
            <w:tcW w:type="dxa" w:w="880"/>
            <w:shd w:val="clear" w:color="auto" w:fill="EEF3FA"/>
          </w:tcPr>
          <w:p>
            <w:pPr>
              <w:spacing w:before="32" w:after="32" w:line="240" w:lineRule="auto"/>
              <w:jc w:val="right"/>
            </w:pPr>
            <w:r>
              <w:rPr>
                <w:b w:val="0"/>
                <w:color w:val="0B0B0B"/>
                <w:sz w:val="15"/>
              </w:rPr>
            </w:r>
          </w:p>
        </w:tc>
      </w:tr>
      <w:tr>
        <w:tc>
          <w:tcPr>
            <w:tcW w:type="dxa" w:w="2287"/>
          </w:tcPr>
          <w:p>
            <w:pPr>
              <w:spacing w:before="32" w:after="32" w:line="240" w:lineRule="auto"/>
              <w:jc w:val="left"/>
            </w:pPr>
            <w:r>
              <w:rPr>
                <w:b w:val="0"/>
                <w:color w:val="0B0B0B"/>
                <w:sz w:val="15"/>
              </w:rPr>
              <w:t>Net worth</w:t>
            </w:r>
          </w:p>
        </w:tc>
        <w:tc>
          <w:tcPr>
            <w:tcW w:type="dxa" w:w="880"/>
          </w:tcPr>
          <w:p>
            <w:pPr>
              <w:spacing w:before="32" w:after="32" w:line="240" w:lineRule="auto"/>
              <w:jc w:val="right"/>
            </w:pPr>
            <w:r>
              <w:rPr>
                <w:b w:val="0"/>
                <w:color w:val="0B0B0B"/>
                <w:sz w:val="15"/>
              </w:rPr>
              <w:t>17,415</w:t>
            </w:r>
          </w:p>
        </w:tc>
        <w:tc>
          <w:tcPr>
            <w:tcW w:type="dxa" w:w="880"/>
          </w:tcPr>
          <w:p>
            <w:pPr>
              <w:spacing w:before="32" w:after="32" w:line="240" w:lineRule="auto"/>
              <w:jc w:val="right"/>
            </w:pPr>
            <w:r>
              <w:rPr>
                <w:b w:val="0"/>
                <w:color w:val="0B0B0B"/>
                <w:sz w:val="15"/>
              </w:rPr>
              <w:t>18,629</w:t>
            </w:r>
          </w:p>
        </w:tc>
        <w:tc>
          <w:tcPr>
            <w:tcW w:type="dxa" w:w="880"/>
          </w:tcPr>
          <w:p>
            <w:pPr>
              <w:spacing w:before="32" w:after="32" w:line="240" w:lineRule="auto"/>
              <w:jc w:val="right"/>
            </w:pPr>
            <w:r>
              <w:rPr>
                <w:b w:val="0"/>
                <w:color w:val="0B0B0B"/>
                <w:sz w:val="15"/>
              </w:rPr>
              <w:t>20,832</w:t>
            </w:r>
          </w:p>
        </w:tc>
        <w:tc>
          <w:tcPr>
            <w:tcW w:type="dxa" w:w="880"/>
          </w:tcPr>
          <w:p>
            <w:pPr>
              <w:spacing w:before="32" w:after="32" w:line="240" w:lineRule="auto"/>
              <w:jc w:val="right"/>
            </w:pPr>
            <w:r>
              <w:rPr>
                <w:b w:val="0"/>
                <w:color w:val="0B0B0B"/>
                <w:sz w:val="15"/>
              </w:rPr>
              <w:t>27,361</w:t>
            </w:r>
          </w:p>
        </w:tc>
        <w:tc>
          <w:tcPr>
            <w:tcW w:type="dxa" w:w="880"/>
          </w:tcPr>
          <w:p>
            <w:pPr>
              <w:spacing w:before="32" w:after="32" w:line="240" w:lineRule="auto"/>
              <w:jc w:val="right"/>
            </w:pPr>
            <w:r>
              <w:rPr>
                <w:b w:val="0"/>
                <w:color w:val="0B0B0B"/>
                <w:sz w:val="15"/>
              </w:rPr>
              <w:t>30,752</w:t>
            </w:r>
          </w:p>
        </w:tc>
        <w:tc>
          <w:tcPr>
            <w:tcW w:type="dxa" w:w="880"/>
          </w:tcPr>
          <w:p>
            <w:pPr>
              <w:spacing w:before="32" w:after="32" w:line="240" w:lineRule="auto"/>
              <w:jc w:val="right"/>
            </w:pPr>
            <w:r>
              <w:rPr>
                <w:b w:val="0"/>
                <w:color w:val="0B0B0B"/>
                <w:sz w:val="15"/>
              </w:rPr>
              <w:t>37,171</w:t>
            </w:r>
          </w:p>
        </w:tc>
        <w:tc>
          <w:tcPr>
            <w:tcW w:type="dxa" w:w="880"/>
          </w:tcPr>
          <w:p>
            <w:pPr>
              <w:spacing w:before="32" w:after="32" w:line="240" w:lineRule="auto"/>
              <w:jc w:val="right"/>
            </w:pPr>
            <w:r>
              <w:rPr>
                <w:b w:val="0"/>
                <w:color w:val="0B0B0B"/>
                <w:sz w:val="15"/>
              </w:rPr>
              <w:t>42,221</w:t>
            </w:r>
          </w:p>
        </w:tc>
        <w:tc>
          <w:tcPr>
            <w:tcW w:type="dxa" w:w="880"/>
          </w:tcPr>
          <w:p>
            <w:pPr>
              <w:spacing w:before="32" w:after="32" w:line="240" w:lineRule="auto"/>
              <w:jc w:val="right"/>
            </w:pPr>
            <w:r>
              <w:rPr>
                <w:b w:val="0"/>
                <w:color w:val="0B0B0B"/>
                <w:sz w:val="15"/>
              </w:rPr>
              <w:t>46,474</w:t>
            </w:r>
          </w:p>
        </w:tc>
        <w:tc>
          <w:tcPr>
            <w:tcW w:type="dxa" w:w="880"/>
          </w:tcPr>
          <w:p>
            <w:pPr>
              <w:spacing w:before="32" w:after="32" w:line="240" w:lineRule="auto"/>
              <w:jc w:val="right"/>
            </w:pPr>
            <w:r>
              <w:rPr>
                <w:b w:val="0"/>
                <w:color w:val="0B0B0B"/>
                <w:sz w:val="15"/>
              </w:rPr>
              <w:t>51,813</w:t>
            </w:r>
          </w:p>
        </w:tc>
      </w:tr>
      <w:tr>
        <w:tc>
          <w:tcPr>
            <w:tcW w:type="dxa" w:w="2287"/>
            <w:shd w:val="clear" w:color="auto" w:fill="EEF3FA"/>
          </w:tcPr>
          <w:p>
            <w:pPr>
              <w:spacing w:before="32" w:after="32" w:line="240" w:lineRule="auto"/>
              <w:jc w:val="left"/>
            </w:pPr>
            <w:r>
              <w:rPr>
                <w:b w:val="0"/>
                <w:color w:val="0B0B0B"/>
                <w:sz w:val="15"/>
              </w:rPr>
              <w:t>Book value per share (Rs.)</w:t>
            </w:r>
          </w:p>
        </w:tc>
        <w:tc>
          <w:tcPr>
            <w:tcW w:type="dxa" w:w="880"/>
            <w:shd w:val="clear" w:color="auto" w:fill="EEF3FA"/>
          </w:tcPr>
          <w:p>
            <w:pPr>
              <w:spacing w:before="32" w:after="32" w:line="240" w:lineRule="auto"/>
              <w:jc w:val="right"/>
            </w:pPr>
            <w:r>
              <w:rPr>
                <w:b w:val="0"/>
                <w:color w:val="0B0B0B"/>
                <w:sz w:val="15"/>
              </w:rPr>
              <w:t>106</w:t>
            </w:r>
          </w:p>
        </w:tc>
        <w:tc>
          <w:tcPr>
            <w:tcW w:type="dxa" w:w="880"/>
            <w:shd w:val="clear" w:color="auto" w:fill="EEF3FA"/>
          </w:tcPr>
          <w:p>
            <w:pPr>
              <w:spacing w:before="32" w:after="32" w:line="240" w:lineRule="auto"/>
              <w:jc w:val="right"/>
            </w:pPr>
            <w:r>
              <w:rPr>
                <w:b w:val="0"/>
                <w:color w:val="0B0B0B"/>
                <w:sz w:val="15"/>
              </w:rPr>
              <w:t>113</w:t>
            </w:r>
          </w:p>
        </w:tc>
        <w:tc>
          <w:tcPr>
            <w:tcW w:type="dxa" w:w="880"/>
            <w:shd w:val="clear" w:color="auto" w:fill="EEF3FA"/>
          </w:tcPr>
          <w:p>
            <w:pPr>
              <w:spacing w:before="32" w:after="32" w:line="240" w:lineRule="auto"/>
              <w:jc w:val="right"/>
            </w:pPr>
            <w:r>
              <w:rPr>
                <w:b w:val="0"/>
                <w:color w:val="0B0B0B"/>
                <w:sz w:val="15"/>
              </w:rPr>
              <w:t>127</w:t>
            </w:r>
          </w:p>
        </w:tc>
        <w:tc>
          <w:tcPr>
            <w:tcW w:type="dxa" w:w="880"/>
            <w:shd w:val="clear" w:color="auto" w:fill="EEF3FA"/>
          </w:tcPr>
          <w:p>
            <w:pPr>
              <w:spacing w:before="32" w:after="32" w:line="240" w:lineRule="auto"/>
              <w:jc w:val="right"/>
            </w:pPr>
            <w:r>
              <w:rPr>
                <w:b w:val="0"/>
                <w:color w:val="0B0B0B"/>
                <w:sz w:val="15"/>
              </w:rPr>
              <w:t>157</w:t>
            </w:r>
          </w:p>
        </w:tc>
        <w:tc>
          <w:tcPr>
            <w:tcW w:type="dxa" w:w="880"/>
            <w:shd w:val="clear" w:color="auto" w:fill="EEF3FA"/>
          </w:tcPr>
          <w:p>
            <w:pPr>
              <w:spacing w:before="32" w:after="32" w:line="240" w:lineRule="auto"/>
              <w:jc w:val="right"/>
            </w:pPr>
            <w:r>
              <w:rPr>
                <w:b w:val="0"/>
                <w:color w:val="0B0B0B"/>
                <w:sz w:val="15"/>
              </w:rPr>
              <w:t>175</w:t>
            </w:r>
          </w:p>
        </w:tc>
        <w:tc>
          <w:tcPr>
            <w:tcW w:type="dxa" w:w="880"/>
            <w:shd w:val="clear" w:color="auto" w:fill="EEF3FA"/>
          </w:tcPr>
          <w:p>
            <w:pPr>
              <w:spacing w:before="32" w:after="32" w:line="240" w:lineRule="auto"/>
              <w:jc w:val="right"/>
            </w:pPr>
            <w:r>
              <w:rPr>
                <w:b w:val="0"/>
                <w:color w:val="0B0B0B"/>
                <w:sz w:val="15"/>
              </w:rPr>
              <w:t>203</w:t>
            </w:r>
          </w:p>
        </w:tc>
        <w:tc>
          <w:tcPr>
            <w:tcW w:type="dxa" w:w="880"/>
            <w:shd w:val="clear" w:color="auto" w:fill="EEF3FA"/>
          </w:tcPr>
          <w:p>
            <w:pPr>
              <w:spacing w:before="32" w:after="32" w:line="240" w:lineRule="auto"/>
              <w:jc w:val="right"/>
            </w:pPr>
            <w:r>
              <w:rPr>
                <w:b w:val="0"/>
                <w:color w:val="0B0B0B"/>
                <w:sz w:val="15"/>
              </w:rPr>
              <w:t>224</w:t>
            </w:r>
          </w:p>
        </w:tc>
        <w:tc>
          <w:tcPr>
            <w:tcW w:type="dxa" w:w="880"/>
            <w:shd w:val="clear" w:color="auto" w:fill="EEF3FA"/>
          </w:tcPr>
          <w:p>
            <w:pPr>
              <w:spacing w:before="32" w:after="32" w:line="240" w:lineRule="auto"/>
              <w:jc w:val="right"/>
            </w:pPr>
            <w:r>
              <w:rPr>
                <w:b w:val="0"/>
                <w:color w:val="0B0B0B"/>
                <w:sz w:val="15"/>
              </w:rPr>
              <w:t>247</w:t>
            </w:r>
          </w:p>
        </w:tc>
        <w:tc>
          <w:tcPr>
            <w:tcW w:type="dxa" w:w="880"/>
            <w:shd w:val="clear" w:color="auto" w:fill="EEF3FA"/>
          </w:tcPr>
          <w:p>
            <w:pPr>
              <w:spacing w:before="32" w:after="32" w:line="240" w:lineRule="auto"/>
              <w:jc w:val="right"/>
            </w:pPr>
            <w:r>
              <w:rPr>
                <w:b w:val="0"/>
                <w:color w:val="0B0B0B"/>
                <w:sz w:val="15"/>
              </w:rPr>
              <w:t>275</w:t>
            </w:r>
          </w:p>
        </w:tc>
      </w:tr>
    </w:tbl>
    <w:p>
      <w:pPr>
        <w:spacing w:before="40" w:after="120"/>
      </w:pPr>
      <w:r>
        <w:rPr>
          <w:b w:val="0"/>
          <w:i/>
          <w:color w:val="8A8880"/>
          <w:sz w:val="14"/>
        </w:rPr>
        <w:t>Source: analyst model; reported cost of debt from the Q4FY26 call. The implied rate is interest expense over average gross debt and overstates the marginal rate where construction-period interest is capitalised — management's reported weighted average cost of debt was 8.36% at March 2026, down 67bp year-on-year, with holdco borrowing at about 8.2%. Of roughly Rs.15,000cr of debt at the standalone/holdco level, about Rs.4,500cr is short-term and the balance runs beyond three years; the short-term portion is acquisition bridge finance for the KSK rail and water SPVs, to be refinanced at asset level. Covenant terms are still not disclosed. Credit ratings are AA (stable) from ICRA and India Ratings.</w:t>
      </w:r>
    </w:p>
    <w:p>
      <w:pPr>
        <w:spacing w:before="120" w:after="40"/>
        <w:jc w:val="center"/>
      </w:pPr>
      <w:r>
        <w:drawing>
          <wp:inline xmlns:a="http://schemas.openxmlformats.org/drawingml/2006/main" xmlns:pic="http://schemas.openxmlformats.org/drawingml/2006/picture">
            <wp:extent cx="4896000" cy="2963266"/>
            <wp:docPr id="6" name="Picture 6"/>
            <wp:cNvGraphicFramePr>
              <a:graphicFrameLocks noChangeAspect="1"/>
            </wp:cNvGraphicFramePr>
            <a:graphic>
              <a:graphicData uri="http://schemas.openxmlformats.org/drawingml/2006/picture">
                <pic:pic>
                  <pic:nvPicPr>
                    <pic:cNvPr id="0" name="ex5_leverage.png"/>
                    <pic:cNvPicPr/>
                  </pic:nvPicPr>
                  <pic:blipFill>
                    <a:blip r:embed="rId14"/>
                    <a:stretch>
                      <a:fillRect/>
                    </a:stretch>
                  </pic:blipFill>
                  <pic:spPr>
                    <a:xfrm>
                      <a:off x="0" y="0"/>
                      <a:ext cx="4896000" cy="2963266"/>
                    </a:xfrm>
                    <a:prstGeom prst="rect"/>
                  </pic:spPr>
                </pic:pic>
              </a:graphicData>
            </a:graphic>
          </wp:inline>
        </w:drawing>
      </w:r>
    </w:p>
    <w:p>
      <w:pPr>
        <w:spacing w:before="0" w:after="140"/>
      </w:pPr>
      <w:r>
        <w:rPr>
          <w:b w:val="0"/>
          <w:i/>
          <w:color w:val="8A8880"/>
          <w:sz w:val="14"/>
        </w:rPr>
        <w:t>Exhibit 6  Net debt and leverage, FY22A–FY30E. Source: analyst model.</w:t>
      </w:r>
    </w:p>
    <w:p>
      <w:pPr>
        <w:spacing w:before="0" w:after="100"/>
      </w:pPr>
      <w:r>
        <w:rPr>
          <w:b w:val="0"/>
          <w:i w:val="0"/>
          <w:color w:val="0B0B0B"/>
          <w:sz w:val="17"/>
        </w:rPr>
        <w:t>The deleveraging path is real but slow and entirely growth-dependent, and the two available measures of it differ enough to matter. On the model's basis — total net debt over total EBITDA — leverage falls from 7.0x in FY26A to 4.9x in FY30E, and net debt still rises in absolute terms every single year, from Rs.70,081cr to Rs.115,314cr. On the company's basis, which excludes debt funding capital work-in-progress that is not yet earning, leverage was about 5.2x at FY26A and improved to 4.95x after the Q1FY27 capital raise. Management's 2030 target is approximately 5.0–5.5x on its own measure, not 'below 5.0x' — a distinction worth holding, because it means the company is already inside its guardrail while the model shows it outside one for another three years. Interest cover of 1.70x in FY26A is the number a credit analyst looks at first, and the model has it at 2.05x–2.17x through the forecast — adequate but not comfortable for an AA credit.</w:t>
      </w:r>
    </w:p>
    <w:p>
      <w:pPr>
        <w:spacing w:before="0" w:after="100"/>
      </w:pPr>
      <w:r>
        <w:rPr>
          <w:b w:val="0"/>
          <w:i w:val="0"/>
          <w:color w:val="0B0B0B"/>
          <w:sz w:val="17"/>
        </w:rPr>
        <w:t>The capital allocation record, FY22A–FY26A. Over five years the company generated about Rs.25,007cr of post-tax operating cash flow. It spent Rs.31,382cr on capex and a further Rs.26,537cr on acquiring equity in subsidiaries (principally KSK Mahanadi and O2 Power), paid roughly Rs.11,760cr of interest and about Rs.1,700cr of dividends. The gap was funded with Rs.66,953cr of new debt and Rs.6,069cr of new equity (the FY25 QIP of Rs.4,944cr and Rs.1,125cr in FY26). The result of deploying roughly Rs.73,000cr of new capital: ROCE moved from 7.1% to 6.4%. That is the honest scorecard, and it is the strongest single argument against paying a growth multiple today.</w:t>
      </w:r>
    </w:p>
    <w:p>
      <w:pPr>
        <w:spacing w:before="0" w:after="100"/>
      </w:pPr>
      <w:r>
        <w:rPr>
          <w:b w:val="0"/>
          <w:i w:val="0"/>
          <w:color w:val="0B0B0B"/>
          <w:sz w:val="17"/>
        </w:rPr>
        <w:t>The funding plan is no longer an assumption — it has been executed. Across FY26 and Q1FY27 the company raised Rs.10,150cr in what it describes as the largest growth capital raise in the Indian power sector: a Rs.3,000cr preferential issue to the promoter vehicle JTPM Metal Traders (Rs.500cr of equity at Rs.525 plus Rs.2,500cr of warrants, of which Rs.1,125cr had been received by Q4FY26 and roughly Rs.1,800cr remains callable at the company's option), Rs.3,150cr from monetising part of the JSW Steel cross-holding, and a Rs.4,000cr QIP anchored by institutional investors. All three appear in the model, and cash and equivalents stood at Rs.12,881cr after the raise. This materially de-risks the FY27E plan and removes what we would otherwise have flagged as the largest single execution risk in the note. On the Q4FY26 call the CFO went further, saying the Rs.20,000cr FY27 capex is manageable from operating cash flow, the preferential proceeds and the warrants within existing leverage ratios — implying no further equity is needed for the current plan, though the board has enabling approval for up to Rs.10,000cr more.</w:t>
      </w:r>
    </w:p>
    <w:p>
      <w:pPr>
        <w:spacing w:before="0" w:after="100"/>
      </w:pPr>
      <w:r>
        <w:rPr>
          <w:b w:val="0"/>
          <w:i w:val="0"/>
          <w:color w:val="0B0B0B"/>
          <w:sz w:val="17"/>
        </w:rPr>
        <w:t>Two capital-allocation observations remain. First, the company pays a dividend (Rs.352cr in FY26A, rising to Rs.451cr by FY28E in the model) while running roughly Rs.13,000cr a year of negative post-interest free cash flow — Rs.1,758cr over FY27E–FY30E funded, at the margin, with debt. Second, the residual JSW Steel holding is still large: 7.00cr shares carried at a fair value of Rs.7,861.80cr at 31 March 2026, up from Rs.7,446.48cr, an idle cross-holding while the group borrows at 8.36%. The relationship runs both ways — JSW Steel itself holds 4.86% of JSW Energy. Management defends the position by quoting cash returns on net worth of about 18% adjusted for it, which is a fair way of saying the operating business earns well once the non-earning asset is stripped out; it is not a reason to keep holding it.</w:t>
      </w:r>
    </w:p>
    <w:p>
      <w:pPr>
        <w:keepNext/>
        <w:spacing w:before="180" w:after="40"/>
      </w:pPr>
      <w:r>
        <w:rPr>
          <w:b/>
          <w:color w:val="1F3864"/>
          <w:sz w:val="21"/>
        </w:rPr>
        <w:t>19.  Stock Price History — Price and Business Story</w:t>
      </w:r>
    </w:p>
    <w:p>
      <w:pPr>
        <w:spacing w:before="120" w:after="40"/>
        <w:jc w:val="center"/>
      </w:pPr>
      <w:r>
        <w:drawing>
          <wp:inline xmlns:a="http://schemas.openxmlformats.org/drawingml/2006/main" xmlns:pic="http://schemas.openxmlformats.org/drawingml/2006/picture">
            <wp:extent cx="4896000" cy="2572816"/>
            <wp:docPr id="7" name="Picture 7"/>
            <wp:cNvGraphicFramePr>
              <a:graphicFrameLocks noChangeAspect="1"/>
            </wp:cNvGraphicFramePr>
            <a:graphic>
              <a:graphicData uri="http://schemas.openxmlformats.org/drawingml/2006/picture">
                <pic:pic>
                  <pic:nvPicPr>
                    <pic:cNvPr id="0" name="ex6_evband.png"/>
                    <pic:cNvPicPr/>
                  </pic:nvPicPr>
                  <pic:blipFill>
                    <a:blip r:embed="rId15"/>
                    <a:stretch>
                      <a:fillRect/>
                    </a:stretch>
                  </pic:blipFill>
                  <pic:spPr>
                    <a:xfrm>
                      <a:off x="0" y="0"/>
                      <a:ext cx="4896000" cy="2572816"/>
                    </a:xfrm>
                    <a:prstGeom prst="rect"/>
                  </pic:spPr>
                </pic:pic>
              </a:graphicData>
            </a:graphic>
          </wp:inline>
        </w:drawing>
      </w:r>
    </w:p>
    <w:p>
      <w:pPr>
        <w:spacing w:before="0" w:after="140"/>
      </w:pPr>
      <w:r>
        <w:rPr>
          <w:b w:val="0"/>
          <w:i/>
          <w:color w:val="8A8880"/>
          <w:sz w:val="14"/>
        </w:rPr>
        <w:t>Exhibit 7  JSW Energy 12-month forward EV/EBITDA, March 2010 to 23 July 2026, with the 16-year mean and standard deviation bands. Source: analyst model (daily series).</w:t>
      </w:r>
    </w:p>
    <w:p>
      <w:pPr>
        <w:spacing w:before="0" w:after="100"/>
      </w:pPr>
      <w:r>
        <w:rPr>
          <w:b w:val="0"/>
          <w:i w:val="0"/>
          <w:color w:val="0B0B0B"/>
          <w:sz w:val="17"/>
        </w:rPr>
        <w:t>A monthly closing-price series is not in the model, so the price narrative below is told through the 12-month forward EV/EBITDA multiple, which is in the model as a daily series to 23 July 2026, together with the 52-week range of Rs.427.75 to Rs.617.35. Where a phase description refers to the share price rather than the multiple it should be read as directional, not precise. That is a gap in this section.</w:t>
      </w:r>
    </w:p>
    <w:p>
      <w:pPr>
        <w:pStyle w:val="ListBullet"/>
        <w:spacing w:after="50" w:line="252" w:lineRule="auto"/>
        <w:ind w:left="312"/>
      </w:pPr>
      <w:r>
        <w:rPr>
          <w:b/>
          <w:color w:val="0B0B0B"/>
          <w:sz w:val="17"/>
        </w:rPr>
        <w:t xml:space="preserve">FY11–FY20, the lost decade. </w:t>
      </w:r>
      <w:r>
        <w:rPr>
          <w:color w:val="0B0B0B"/>
          <w:sz w:val="17"/>
        </w:rPr>
        <w:t>The multiple derated from 9–11x to 5–6x and troughed at 3.9x in March 2020 — correctly pricing a shrinking thermal utility with no new capacity, Vijayanagar PLF falling from 95% to 50%, and EBITDA down three years running.</w:t>
      </w:r>
    </w:p>
    <w:p>
      <w:pPr>
        <w:pStyle w:val="ListBullet"/>
        <w:spacing w:after="50" w:line="252" w:lineRule="auto"/>
        <w:ind w:left="312"/>
      </w:pPr>
      <w:r>
        <w:rPr>
          <w:b/>
          <w:color w:val="0B0B0B"/>
          <w:sz w:val="17"/>
        </w:rPr>
        <w:t xml:space="preserve">FY21–FY22, the renewable re-rating. </w:t>
      </w:r>
      <w:r>
        <w:rPr>
          <w:color w:val="0B0B0B"/>
          <w:sz w:val="17"/>
        </w:rPr>
        <w:t>From 5.8x to 22.4x in eighteen months. JSW Neo was formed, the 20GW target announced, and leverage was 2.2x with positive free cash flow. The market paid for an option on the transition before any of it was built.</w:t>
      </w:r>
    </w:p>
    <w:p>
      <w:pPr>
        <w:pStyle w:val="ListBullet"/>
        <w:spacing w:after="50" w:line="252" w:lineRule="auto"/>
        <w:ind w:left="312"/>
      </w:pPr>
      <w:r>
        <w:rPr>
          <w:b/>
          <w:color w:val="0B0B0B"/>
          <w:sz w:val="17"/>
        </w:rPr>
        <w:t xml:space="preserve">FY23–FY25, the reality check and the acquisition re-rating. </w:t>
      </w:r>
      <w:r>
        <w:rPr>
          <w:color w:val="0B0B0B"/>
          <w:sz w:val="17"/>
        </w:rPr>
        <w:t>Down to 10.3x as FY23 EBITDA fell 8% on imported coal and leverage jumped to 6.3x on Mytrah; then back to a 20.1x peak in 2024 on the Ind-Barath and KSK acquisitions and a Rs.4,944cr QIP. The market learned what the transition would cost, then decided cheap distressed thermal was accretive anyway.</w:t>
      </w:r>
    </w:p>
    <w:p>
      <w:pPr>
        <w:pStyle w:val="ListBullet"/>
        <w:spacing w:after="50" w:line="252" w:lineRule="auto"/>
        <w:ind w:left="312"/>
      </w:pPr>
      <w:r>
        <w:rPr>
          <w:b/>
          <w:color w:val="0B0B0B"/>
          <w:sz w:val="17"/>
        </w:rPr>
        <w:t xml:space="preserve">FY26A to date, consolidation. </w:t>
      </w:r>
      <w:r>
        <w:rPr>
          <w:color w:val="0B0B0B"/>
          <w:sz w:val="17"/>
        </w:rPr>
        <w:t>The multiple has traded between 12.0x and 14.9x and sits at 13.9x. The revealing fact is what happened underneath it: consolidated EBITDA nearly doubled in FY26A while the multiple compressed from a 16.9x average in 2024 to 13.2x in 2026. The market has taken delivery of the EBITDA and refused to keep paying the same multiple for it, which is a rational response to net debt rising by Rs.25,155cr in the same year.</w:t>
      </w:r>
    </w:p>
    <w:p>
      <w:pPr>
        <w:spacing w:before="0" w:after="100"/>
      </w:pPr>
      <w:r>
        <w:rPr>
          <w:b w:val="0"/>
          <w:i w:val="0"/>
          <w:color w:val="0B0B0B"/>
          <w:sz w:val="17"/>
        </w:rPr>
        <w:t>Current price against business reality: at Rs.561 the stock sits 9% below its 52-week high and 31% above its low, on a multiple 0.55 standard deviations above a 16-year mean that includes a decade in which this was a much lower-quality company. The business is better contracted than at any point in that history and three times as leveraged as in FY22. A multiple between the mean and +1sd is, on that reading, close to fair.</w:t>
      </w:r>
    </w:p>
    <w:p>
      <w:pPr>
        <w:keepNext/>
        <w:spacing w:before="180" w:after="40"/>
      </w:pPr>
      <w:r>
        <w:rPr>
          <w:b/>
          <w:color w:val="1F3864"/>
          <w:sz w:val="21"/>
        </w:rPr>
        <w:t>20.  Valuation</w:t>
      </w:r>
    </w:p>
    <w:p>
      <w:pPr>
        <w:spacing w:before="0" w:after="100"/>
      </w:pPr>
      <w:r>
        <w:rPr>
          <w:b w:val="0"/>
          <w:i w:val="0"/>
          <w:color w:val="0B0B0B"/>
          <w:sz w:val="17"/>
        </w:rPr>
        <w:t>We value JSW Energy on EV/EBITDA. The reasons are specific rather than conventional. P/E is unusable for FY26A because the effective tax rate was negative 39% — the reported Rs.12.74 of EPS is not a repeatable number. P/BV is distorted by three acquisitions in four years and by Rs.659cr of goodwill. A DCF is unusable here for a structural reason set out below. EV/EBITDA is the right lens for a leveraged, capital-intensive, long-contract asset base — it values the assets and then makes the reader confront the debt explicitly, which in this case is the whole point.</w:t>
      </w:r>
    </w:p>
    <w:p>
      <w:pPr>
        <w:spacing w:before="0" w:after="100"/>
      </w:pPr>
      <w:r>
        <w:rPr>
          <w:b w:val="0"/>
          <w:i w:val="0"/>
          <w:color w:val="0B0B0B"/>
          <w:sz w:val="17"/>
        </w:rPr>
        <w:t>Comparables. Adani Green (&gt;17x) is the anchor the market implicitly applies to the renewable arm and is not a fair one for the consolidated company, which carries a thermal fleet and merchant exposure. NTPC (~11.0x) is the fair floor, and it is a genuine question why a 2.3x-geared private generator earning 6.4% ROCE should trade above a regulated-return generator with a far stronger balance sheet. Tata Power (~13.8x) is the closest structural comparable and JSW trades roughly in line with it. The model's sum-of-the-parts applies 10x to thermal and hydro and 12x to renewables — the origin of the 11.9x blended base multiple.</w:t>
      </w:r>
    </w:p>
    <w:tbl>
      <w:tblPr>
        <w:tblW w:w="10205"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1741"/>
        <w:gridCol w:w="900"/>
        <w:gridCol w:w="900"/>
        <w:gridCol w:w="1140"/>
        <w:gridCol w:w="1320"/>
        <w:gridCol w:w="1140"/>
        <w:gridCol w:w="1140"/>
        <w:gridCol w:w="1080"/>
        <w:gridCol w:w="840"/>
      </w:tblGrid>
      <w:tr>
        <w:tc>
          <w:tcPr>
            <w:tcW w:type="dxa" w:w="1741"/>
            <w:shd w:val="clear" w:color="auto" w:fill="1F3864"/>
          </w:tcPr>
          <w:p>
            <w:pPr>
              <w:spacing w:before="50" w:after="50"/>
              <w:jc w:val="left"/>
            </w:pPr>
            <w:r>
              <w:rPr>
                <w:b/>
                <w:color w:val="FFFFFF"/>
                <w:sz w:val="14"/>
              </w:rPr>
              <w:t>Scenario</w:t>
            </w:r>
          </w:p>
        </w:tc>
        <w:tc>
          <w:tcPr>
            <w:tcW w:type="dxa" w:w="900"/>
            <w:shd w:val="clear" w:color="auto" w:fill="1F3864"/>
          </w:tcPr>
          <w:p>
            <w:pPr>
              <w:spacing w:before="50" w:after="50"/>
              <w:jc w:val="right"/>
            </w:pPr>
            <w:r>
              <w:rPr>
                <w:b/>
                <w:color w:val="FFFFFF"/>
                <w:sz w:val="14"/>
              </w:rPr>
              <w:t>Multiple</w:t>
            </w:r>
          </w:p>
        </w:tc>
        <w:tc>
          <w:tcPr>
            <w:tcW w:type="dxa" w:w="900"/>
            <w:shd w:val="clear" w:color="auto" w:fill="1F3864"/>
          </w:tcPr>
          <w:p>
            <w:pPr>
              <w:spacing w:before="50" w:after="50"/>
              <w:jc w:val="right"/>
            </w:pPr>
            <w:r>
              <w:rPr>
                <w:b/>
                <w:color w:val="FFFFFF"/>
                <w:sz w:val="14"/>
              </w:rPr>
              <w:t>Applied to</w:t>
            </w:r>
          </w:p>
        </w:tc>
        <w:tc>
          <w:tcPr>
            <w:tcW w:type="dxa" w:w="1141"/>
            <w:shd w:val="clear" w:color="auto" w:fill="1F3864"/>
          </w:tcPr>
          <w:p>
            <w:pPr>
              <w:spacing w:before="50" w:after="50"/>
              <w:jc w:val="right"/>
            </w:pPr>
            <w:r>
              <w:rPr>
                <w:b/>
                <w:color w:val="FFFFFF"/>
                <w:sz w:val="14"/>
              </w:rPr>
              <w:t>EBITDA (Rs.cr)</w:t>
            </w:r>
          </w:p>
        </w:tc>
        <w:tc>
          <w:tcPr>
            <w:tcW w:type="dxa" w:w="1321"/>
            <w:shd w:val="clear" w:color="auto" w:fill="1F3864"/>
          </w:tcPr>
          <w:p>
            <w:pPr>
              <w:spacing w:before="50" w:after="50"/>
              <w:jc w:val="right"/>
            </w:pPr>
            <w:r>
              <w:rPr>
                <w:b/>
                <w:color w:val="FFFFFF"/>
                <w:sz w:val="14"/>
              </w:rPr>
              <w:t>Enterprise value</w:t>
            </w:r>
          </w:p>
        </w:tc>
        <w:tc>
          <w:tcPr>
            <w:tcW w:type="dxa" w:w="1141"/>
            <w:shd w:val="clear" w:color="auto" w:fill="1F3864"/>
          </w:tcPr>
          <w:p>
            <w:pPr>
              <w:spacing w:before="50" w:after="50"/>
              <w:jc w:val="right"/>
            </w:pPr>
            <w:r>
              <w:rPr>
                <w:b/>
                <w:color w:val="FFFFFF"/>
                <w:sz w:val="14"/>
              </w:rPr>
              <w:t>Less net debt</w:t>
            </w:r>
          </w:p>
        </w:tc>
        <w:tc>
          <w:tcPr>
            <w:tcW w:type="dxa" w:w="1141"/>
            <w:shd w:val="clear" w:color="auto" w:fill="1F3864"/>
          </w:tcPr>
          <w:p>
            <w:pPr>
              <w:spacing w:before="50" w:after="50"/>
              <w:jc w:val="right"/>
            </w:pPr>
            <w:r>
              <w:rPr>
                <w:b/>
                <w:color w:val="FFFFFF"/>
                <w:sz w:val="14"/>
              </w:rPr>
              <w:t>Equity value</w:t>
            </w:r>
          </w:p>
        </w:tc>
        <w:tc>
          <w:tcPr>
            <w:tcW w:type="dxa" w:w="1080"/>
            <w:shd w:val="clear" w:color="auto" w:fill="1F3864"/>
          </w:tcPr>
          <w:p>
            <w:pPr>
              <w:spacing w:before="50" w:after="50"/>
              <w:jc w:val="right"/>
            </w:pPr>
            <w:r>
              <w:rPr>
                <w:b/>
                <w:color w:val="FFFFFF"/>
                <w:sz w:val="14"/>
              </w:rPr>
              <w:t>Target price</w:t>
            </w:r>
          </w:p>
        </w:tc>
        <w:tc>
          <w:tcPr>
            <w:tcW w:type="dxa" w:w="840"/>
            <w:shd w:val="clear" w:color="auto" w:fill="1F3864"/>
          </w:tcPr>
          <w:p>
            <w:pPr>
              <w:spacing w:before="50" w:after="50"/>
              <w:jc w:val="right"/>
            </w:pPr>
            <w:r>
              <w:rPr>
                <w:b/>
                <w:color w:val="FFFFFF"/>
                <w:sz w:val="14"/>
              </w:rPr>
              <w:t>vs CMP</w:t>
            </w:r>
          </w:p>
        </w:tc>
      </w:tr>
      <w:tr>
        <w:tc>
          <w:tcPr>
            <w:tcW w:type="dxa" w:w="1741"/>
          </w:tcPr>
          <w:p>
            <w:pPr>
              <w:spacing w:before="32" w:after="32" w:line="240" w:lineRule="auto"/>
              <w:jc w:val="left"/>
            </w:pPr>
            <w:r>
              <w:rPr>
                <w:b w:val="0"/>
                <w:color w:val="0B0B0B"/>
                <w:sz w:val="14"/>
              </w:rPr>
              <w:t>Bear</w:t>
            </w:r>
          </w:p>
        </w:tc>
        <w:tc>
          <w:tcPr>
            <w:tcW w:type="dxa" w:w="900"/>
          </w:tcPr>
          <w:p>
            <w:pPr>
              <w:spacing w:before="32" w:after="32" w:line="240" w:lineRule="auto"/>
              <w:jc w:val="right"/>
            </w:pPr>
            <w:r>
              <w:rPr>
                <w:b w:val="0"/>
                <w:color w:val="0B0B0B"/>
                <w:sz w:val="14"/>
              </w:rPr>
              <w:t>8.0x</w:t>
            </w:r>
          </w:p>
        </w:tc>
        <w:tc>
          <w:tcPr>
            <w:tcW w:type="dxa" w:w="900"/>
          </w:tcPr>
          <w:p>
            <w:pPr>
              <w:spacing w:before="32" w:after="32" w:line="240" w:lineRule="auto"/>
              <w:jc w:val="right"/>
            </w:pPr>
            <w:r>
              <w:rPr>
                <w:b w:val="0"/>
                <w:color w:val="0B0B0B"/>
                <w:sz w:val="14"/>
              </w:rPr>
              <w:t>FY28E</w:t>
            </w:r>
          </w:p>
        </w:tc>
        <w:tc>
          <w:tcPr>
            <w:tcW w:type="dxa" w:w="1141"/>
          </w:tcPr>
          <w:p>
            <w:pPr>
              <w:spacing w:before="32" w:after="32" w:line="240" w:lineRule="auto"/>
              <w:jc w:val="right"/>
            </w:pPr>
            <w:r>
              <w:rPr>
                <w:b w:val="0"/>
                <w:color w:val="0B0B0B"/>
                <w:sz w:val="14"/>
              </w:rPr>
              <w:t>15,942</w:t>
            </w:r>
          </w:p>
        </w:tc>
        <w:tc>
          <w:tcPr>
            <w:tcW w:type="dxa" w:w="1321"/>
          </w:tcPr>
          <w:p>
            <w:pPr>
              <w:spacing w:before="32" w:after="32" w:line="240" w:lineRule="auto"/>
              <w:jc w:val="right"/>
            </w:pPr>
            <w:r>
              <w:rPr>
                <w:b w:val="0"/>
                <w:color w:val="0B0B0B"/>
                <w:sz w:val="14"/>
              </w:rPr>
              <w:t>127,535</w:t>
            </w:r>
          </w:p>
        </w:tc>
        <w:tc>
          <w:tcPr>
            <w:tcW w:type="dxa" w:w="1141"/>
          </w:tcPr>
          <w:p>
            <w:pPr>
              <w:spacing w:before="32" w:after="32" w:line="240" w:lineRule="auto"/>
              <w:jc w:val="right"/>
            </w:pPr>
            <w:r>
              <w:rPr>
                <w:b w:val="0"/>
                <w:color w:val="0B0B0B"/>
                <w:sz w:val="14"/>
              </w:rPr>
              <w:t>(75,038)</w:t>
            </w:r>
          </w:p>
        </w:tc>
        <w:tc>
          <w:tcPr>
            <w:tcW w:type="dxa" w:w="1141"/>
          </w:tcPr>
          <w:p>
            <w:pPr>
              <w:spacing w:before="32" w:after="32" w:line="240" w:lineRule="auto"/>
              <w:jc w:val="right"/>
            </w:pPr>
            <w:r>
              <w:rPr>
                <w:b w:val="0"/>
                <w:color w:val="0B0B0B"/>
                <w:sz w:val="14"/>
              </w:rPr>
              <w:t>52,497</w:t>
            </w:r>
          </w:p>
        </w:tc>
        <w:tc>
          <w:tcPr>
            <w:tcW w:type="dxa" w:w="1080"/>
          </w:tcPr>
          <w:p>
            <w:pPr>
              <w:spacing w:before="32" w:after="32" w:line="240" w:lineRule="auto"/>
              <w:jc w:val="right"/>
            </w:pPr>
            <w:r>
              <w:rPr>
                <w:b w:val="0"/>
                <w:color w:val="0B0B0B"/>
                <w:sz w:val="14"/>
              </w:rPr>
              <w:t>Rs.286</w:t>
            </w:r>
          </w:p>
        </w:tc>
        <w:tc>
          <w:tcPr>
            <w:tcW w:type="dxa" w:w="840"/>
          </w:tcPr>
          <w:p>
            <w:pPr>
              <w:spacing w:before="32" w:after="32" w:line="240" w:lineRule="auto"/>
              <w:jc w:val="right"/>
            </w:pPr>
            <w:r>
              <w:rPr>
                <w:b w:val="0"/>
                <w:color w:val="0B0B0B"/>
                <w:sz w:val="14"/>
              </w:rPr>
              <w:t>(49%)</w:t>
            </w:r>
          </w:p>
        </w:tc>
      </w:tr>
      <w:tr>
        <w:tc>
          <w:tcPr>
            <w:tcW w:type="dxa" w:w="1741"/>
            <w:shd w:val="clear" w:color="auto" w:fill="EEF3FA"/>
          </w:tcPr>
          <w:p>
            <w:pPr>
              <w:spacing w:before="32" w:after="32" w:line="240" w:lineRule="auto"/>
              <w:jc w:val="left"/>
            </w:pPr>
            <w:r>
              <w:rPr>
                <w:b w:val="0"/>
                <w:color w:val="0B0B0B"/>
                <w:sz w:val="14"/>
              </w:rPr>
              <w:t>Downside case</w:t>
            </w:r>
          </w:p>
        </w:tc>
        <w:tc>
          <w:tcPr>
            <w:tcW w:type="dxa" w:w="900"/>
            <w:shd w:val="clear" w:color="auto" w:fill="EEF3FA"/>
          </w:tcPr>
          <w:p>
            <w:pPr>
              <w:spacing w:before="32" w:after="32" w:line="240" w:lineRule="auto"/>
              <w:jc w:val="right"/>
            </w:pPr>
            <w:r>
              <w:rPr>
                <w:b w:val="0"/>
                <w:color w:val="0B0B0B"/>
                <w:sz w:val="14"/>
              </w:rPr>
              <w:t>10.2x</w:t>
            </w:r>
          </w:p>
        </w:tc>
        <w:tc>
          <w:tcPr>
            <w:tcW w:type="dxa" w:w="900"/>
            <w:shd w:val="clear" w:color="auto" w:fill="EEF3FA"/>
          </w:tcPr>
          <w:p>
            <w:pPr>
              <w:spacing w:before="32" w:after="32" w:line="240" w:lineRule="auto"/>
              <w:jc w:val="right"/>
            </w:pPr>
            <w:r>
              <w:rPr>
                <w:b w:val="0"/>
                <w:color w:val="0B0B0B"/>
                <w:sz w:val="14"/>
              </w:rPr>
              <w:t>FY28E</w:t>
            </w:r>
          </w:p>
        </w:tc>
        <w:tc>
          <w:tcPr>
            <w:tcW w:type="dxa" w:w="1141"/>
            <w:shd w:val="clear" w:color="auto" w:fill="EEF3FA"/>
          </w:tcPr>
          <w:p>
            <w:pPr>
              <w:spacing w:before="32" w:after="32" w:line="240" w:lineRule="auto"/>
              <w:jc w:val="right"/>
            </w:pPr>
            <w:r>
              <w:rPr>
                <w:b w:val="0"/>
                <w:color w:val="0B0B0B"/>
                <w:sz w:val="14"/>
              </w:rPr>
              <w:t>15,942</w:t>
            </w:r>
          </w:p>
        </w:tc>
        <w:tc>
          <w:tcPr>
            <w:tcW w:type="dxa" w:w="1321"/>
            <w:shd w:val="clear" w:color="auto" w:fill="EEF3FA"/>
          </w:tcPr>
          <w:p>
            <w:pPr>
              <w:spacing w:before="32" w:after="32" w:line="240" w:lineRule="auto"/>
              <w:jc w:val="right"/>
            </w:pPr>
            <w:r>
              <w:rPr>
                <w:b w:val="0"/>
                <w:color w:val="0B0B0B"/>
                <w:sz w:val="14"/>
              </w:rPr>
              <w:t>162,607</w:t>
            </w:r>
          </w:p>
        </w:tc>
        <w:tc>
          <w:tcPr>
            <w:tcW w:type="dxa" w:w="1141"/>
            <w:shd w:val="clear" w:color="auto" w:fill="EEF3FA"/>
          </w:tcPr>
          <w:p>
            <w:pPr>
              <w:spacing w:before="32" w:after="32" w:line="240" w:lineRule="auto"/>
              <w:jc w:val="right"/>
            </w:pPr>
            <w:r>
              <w:rPr>
                <w:b w:val="0"/>
                <w:color w:val="0B0B0B"/>
                <w:sz w:val="14"/>
              </w:rPr>
              <w:t>(75,038)</w:t>
            </w:r>
          </w:p>
        </w:tc>
        <w:tc>
          <w:tcPr>
            <w:tcW w:type="dxa" w:w="1141"/>
            <w:shd w:val="clear" w:color="auto" w:fill="EEF3FA"/>
          </w:tcPr>
          <w:p>
            <w:pPr>
              <w:spacing w:before="32" w:after="32" w:line="240" w:lineRule="auto"/>
              <w:jc w:val="right"/>
            </w:pPr>
            <w:r>
              <w:rPr>
                <w:b w:val="0"/>
                <w:color w:val="0B0B0B"/>
                <w:sz w:val="14"/>
              </w:rPr>
              <w:t>87,569</w:t>
            </w:r>
          </w:p>
        </w:tc>
        <w:tc>
          <w:tcPr>
            <w:tcW w:type="dxa" w:w="1080"/>
            <w:shd w:val="clear" w:color="auto" w:fill="EEF3FA"/>
          </w:tcPr>
          <w:p>
            <w:pPr>
              <w:spacing w:before="32" w:after="32" w:line="240" w:lineRule="auto"/>
              <w:jc w:val="right"/>
            </w:pPr>
            <w:r>
              <w:rPr>
                <w:b w:val="0"/>
                <w:color w:val="0B0B0B"/>
                <w:sz w:val="14"/>
              </w:rPr>
              <w:t>Rs.478</w:t>
            </w:r>
          </w:p>
        </w:tc>
        <w:tc>
          <w:tcPr>
            <w:tcW w:type="dxa" w:w="840"/>
            <w:shd w:val="clear" w:color="auto" w:fill="EEF3FA"/>
          </w:tcPr>
          <w:p>
            <w:pPr>
              <w:spacing w:before="32" w:after="32" w:line="240" w:lineRule="auto"/>
              <w:jc w:val="right"/>
            </w:pPr>
            <w:r>
              <w:rPr>
                <w:b w:val="0"/>
                <w:color w:val="0B0B0B"/>
                <w:sz w:val="14"/>
              </w:rPr>
              <w:t>(15%)</w:t>
            </w:r>
          </w:p>
        </w:tc>
      </w:tr>
      <w:tr>
        <w:tc>
          <w:tcPr>
            <w:tcW w:type="dxa" w:w="1741"/>
            <w:shd w:val="clear" w:color="auto" w:fill="DCE6F2"/>
          </w:tcPr>
          <w:p>
            <w:pPr>
              <w:spacing w:before="32" w:after="32" w:line="240" w:lineRule="auto"/>
              <w:jc w:val="left"/>
            </w:pPr>
            <w:r>
              <w:rPr>
                <w:b/>
                <w:color w:val="0B0B0B"/>
                <w:sz w:val="14"/>
              </w:rPr>
              <w:t>Base</w:t>
            </w:r>
          </w:p>
        </w:tc>
        <w:tc>
          <w:tcPr>
            <w:tcW w:type="dxa" w:w="900"/>
            <w:shd w:val="clear" w:color="auto" w:fill="DCE6F2"/>
          </w:tcPr>
          <w:p>
            <w:pPr>
              <w:spacing w:before="32" w:after="32" w:line="240" w:lineRule="auto"/>
              <w:jc w:val="right"/>
            </w:pPr>
            <w:r>
              <w:rPr>
                <w:b/>
                <w:color w:val="0B0B0B"/>
                <w:sz w:val="14"/>
              </w:rPr>
              <w:t>11.9x</w:t>
            </w:r>
          </w:p>
        </w:tc>
        <w:tc>
          <w:tcPr>
            <w:tcW w:type="dxa" w:w="900"/>
            <w:shd w:val="clear" w:color="auto" w:fill="DCE6F2"/>
          </w:tcPr>
          <w:p>
            <w:pPr>
              <w:spacing w:before="32" w:after="32" w:line="240" w:lineRule="auto"/>
              <w:jc w:val="right"/>
            </w:pPr>
            <w:r>
              <w:rPr>
                <w:b/>
                <w:color w:val="0B0B0B"/>
                <w:sz w:val="14"/>
              </w:rPr>
              <w:t>FY28E</w:t>
            </w:r>
          </w:p>
        </w:tc>
        <w:tc>
          <w:tcPr>
            <w:tcW w:type="dxa" w:w="1141"/>
            <w:shd w:val="clear" w:color="auto" w:fill="DCE6F2"/>
          </w:tcPr>
          <w:p>
            <w:pPr>
              <w:spacing w:before="32" w:after="32" w:line="240" w:lineRule="auto"/>
              <w:jc w:val="right"/>
            </w:pPr>
            <w:r>
              <w:rPr>
                <w:b/>
                <w:color w:val="0B0B0B"/>
                <w:sz w:val="14"/>
              </w:rPr>
              <w:t>15,942</w:t>
            </w:r>
          </w:p>
        </w:tc>
        <w:tc>
          <w:tcPr>
            <w:tcW w:type="dxa" w:w="1321"/>
            <w:shd w:val="clear" w:color="auto" w:fill="DCE6F2"/>
          </w:tcPr>
          <w:p>
            <w:pPr>
              <w:spacing w:before="32" w:after="32" w:line="240" w:lineRule="auto"/>
              <w:jc w:val="right"/>
            </w:pPr>
            <w:r>
              <w:rPr>
                <w:b/>
                <w:color w:val="0B0B0B"/>
                <w:sz w:val="14"/>
              </w:rPr>
              <w:t>189,709</w:t>
            </w:r>
          </w:p>
        </w:tc>
        <w:tc>
          <w:tcPr>
            <w:tcW w:type="dxa" w:w="1141"/>
            <w:shd w:val="clear" w:color="auto" w:fill="DCE6F2"/>
          </w:tcPr>
          <w:p>
            <w:pPr>
              <w:spacing w:before="32" w:after="32" w:line="240" w:lineRule="auto"/>
              <w:jc w:val="right"/>
            </w:pPr>
            <w:r>
              <w:rPr>
                <w:b/>
                <w:color w:val="0B0B0B"/>
                <w:sz w:val="14"/>
              </w:rPr>
              <w:t>(75,038)</w:t>
            </w:r>
          </w:p>
        </w:tc>
        <w:tc>
          <w:tcPr>
            <w:tcW w:type="dxa" w:w="1141"/>
            <w:shd w:val="clear" w:color="auto" w:fill="DCE6F2"/>
          </w:tcPr>
          <w:p>
            <w:pPr>
              <w:spacing w:before="32" w:after="32" w:line="240" w:lineRule="auto"/>
              <w:jc w:val="right"/>
            </w:pPr>
            <w:r>
              <w:rPr>
                <w:b/>
                <w:color w:val="0B0B0B"/>
                <w:sz w:val="14"/>
              </w:rPr>
              <w:t>114,671</w:t>
            </w:r>
          </w:p>
        </w:tc>
        <w:tc>
          <w:tcPr>
            <w:tcW w:type="dxa" w:w="1080"/>
            <w:shd w:val="clear" w:color="auto" w:fill="DCE6F2"/>
          </w:tcPr>
          <w:p>
            <w:pPr>
              <w:spacing w:before="32" w:after="32" w:line="240" w:lineRule="auto"/>
              <w:jc w:val="right"/>
            </w:pPr>
            <w:r>
              <w:rPr>
                <w:b/>
                <w:color w:val="0B0B0B"/>
                <w:sz w:val="14"/>
              </w:rPr>
              <w:t>Rs.625</w:t>
            </w:r>
          </w:p>
        </w:tc>
        <w:tc>
          <w:tcPr>
            <w:tcW w:type="dxa" w:w="840"/>
            <w:shd w:val="clear" w:color="auto" w:fill="DCE6F2"/>
          </w:tcPr>
          <w:p>
            <w:pPr>
              <w:spacing w:before="32" w:after="32" w:line="240" w:lineRule="auto"/>
              <w:jc w:val="right"/>
            </w:pPr>
            <w:r>
              <w:rPr>
                <w:b/>
                <w:color w:val="0B0B0B"/>
                <w:sz w:val="14"/>
              </w:rPr>
              <w:t>+11%</w:t>
            </w:r>
          </w:p>
        </w:tc>
      </w:tr>
      <w:tr>
        <w:tc>
          <w:tcPr>
            <w:tcW w:type="dxa" w:w="1741"/>
            <w:shd w:val="clear" w:color="auto" w:fill="EEF3FA"/>
          </w:tcPr>
          <w:p>
            <w:pPr>
              <w:spacing w:before="32" w:after="32" w:line="240" w:lineRule="auto"/>
              <w:jc w:val="left"/>
            </w:pPr>
            <w:r>
              <w:rPr>
                <w:b w:val="0"/>
                <w:color w:val="0B0B0B"/>
                <w:sz w:val="14"/>
              </w:rPr>
              <w:t>Bull</w:t>
            </w:r>
          </w:p>
        </w:tc>
        <w:tc>
          <w:tcPr>
            <w:tcW w:type="dxa" w:w="900"/>
            <w:shd w:val="clear" w:color="auto" w:fill="EEF3FA"/>
          </w:tcPr>
          <w:p>
            <w:pPr>
              <w:spacing w:before="32" w:after="32" w:line="240" w:lineRule="auto"/>
              <w:jc w:val="right"/>
            </w:pPr>
            <w:r>
              <w:rPr>
                <w:b w:val="0"/>
                <w:color w:val="0B0B0B"/>
                <w:sz w:val="14"/>
              </w:rPr>
              <w:t>11.9x</w:t>
            </w:r>
          </w:p>
        </w:tc>
        <w:tc>
          <w:tcPr>
            <w:tcW w:type="dxa" w:w="900"/>
            <w:shd w:val="clear" w:color="auto" w:fill="EEF3FA"/>
          </w:tcPr>
          <w:p>
            <w:pPr>
              <w:spacing w:before="32" w:after="32" w:line="240" w:lineRule="auto"/>
              <w:jc w:val="right"/>
            </w:pPr>
            <w:r>
              <w:rPr>
                <w:b w:val="0"/>
                <w:color w:val="0B0B0B"/>
                <w:sz w:val="14"/>
              </w:rPr>
              <w:t>FY29E</w:t>
            </w:r>
          </w:p>
        </w:tc>
        <w:tc>
          <w:tcPr>
            <w:tcW w:type="dxa" w:w="1141"/>
            <w:shd w:val="clear" w:color="auto" w:fill="EEF3FA"/>
          </w:tcPr>
          <w:p>
            <w:pPr>
              <w:spacing w:before="32" w:after="32" w:line="240" w:lineRule="auto"/>
              <w:jc w:val="right"/>
            </w:pPr>
            <w:r>
              <w:rPr>
                <w:b w:val="0"/>
                <w:color w:val="0B0B0B"/>
                <w:sz w:val="14"/>
              </w:rPr>
              <w:t>20,212</w:t>
            </w:r>
          </w:p>
        </w:tc>
        <w:tc>
          <w:tcPr>
            <w:tcW w:type="dxa" w:w="1321"/>
            <w:shd w:val="clear" w:color="auto" w:fill="EEF3FA"/>
          </w:tcPr>
          <w:p>
            <w:pPr>
              <w:spacing w:before="32" w:after="32" w:line="240" w:lineRule="auto"/>
              <w:jc w:val="right"/>
            </w:pPr>
            <w:r>
              <w:rPr>
                <w:b w:val="0"/>
                <w:color w:val="0B0B0B"/>
                <w:sz w:val="14"/>
              </w:rPr>
              <w:t>240,519</w:t>
            </w:r>
          </w:p>
        </w:tc>
        <w:tc>
          <w:tcPr>
            <w:tcW w:type="dxa" w:w="1141"/>
            <w:shd w:val="clear" w:color="auto" w:fill="EEF3FA"/>
          </w:tcPr>
          <w:p>
            <w:pPr>
              <w:spacing w:before="32" w:after="32" w:line="240" w:lineRule="auto"/>
              <w:jc w:val="right"/>
            </w:pPr>
            <w:r>
              <w:rPr>
                <w:b w:val="0"/>
                <w:color w:val="0B0B0B"/>
                <w:sz w:val="14"/>
              </w:rPr>
              <w:t>(86,670)</w:t>
            </w:r>
          </w:p>
        </w:tc>
        <w:tc>
          <w:tcPr>
            <w:tcW w:type="dxa" w:w="1141"/>
            <w:shd w:val="clear" w:color="auto" w:fill="EEF3FA"/>
          </w:tcPr>
          <w:p>
            <w:pPr>
              <w:spacing w:before="32" w:after="32" w:line="240" w:lineRule="auto"/>
              <w:jc w:val="right"/>
            </w:pPr>
            <w:r>
              <w:rPr>
                <w:b w:val="0"/>
                <w:color w:val="0B0B0B"/>
                <w:sz w:val="14"/>
              </w:rPr>
              <w:t>153,849</w:t>
            </w:r>
          </w:p>
        </w:tc>
        <w:tc>
          <w:tcPr>
            <w:tcW w:type="dxa" w:w="1080"/>
            <w:shd w:val="clear" w:color="auto" w:fill="EEF3FA"/>
          </w:tcPr>
          <w:p>
            <w:pPr>
              <w:spacing w:before="32" w:after="32" w:line="240" w:lineRule="auto"/>
              <w:jc w:val="right"/>
            </w:pPr>
            <w:r>
              <w:rPr>
                <w:b w:val="0"/>
                <w:color w:val="0B0B0B"/>
                <w:sz w:val="14"/>
              </w:rPr>
              <w:t>Rs.839</w:t>
            </w:r>
          </w:p>
        </w:tc>
        <w:tc>
          <w:tcPr>
            <w:tcW w:type="dxa" w:w="840"/>
            <w:shd w:val="clear" w:color="auto" w:fill="EEF3FA"/>
          </w:tcPr>
          <w:p>
            <w:pPr>
              <w:spacing w:before="32" w:after="32" w:line="240" w:lineRule="auto"/>
              <w:jc w:val="right"/>
            </w:pPr>
            <w:r>
              <w:rPr>
                <w:b w:val="0"/>
                <w:color w:val="0B0B0B"/>
                <w:sz w:val="14"/>
              </w:rPr>
              <w:t>+50%</w:t>
            </w:r>
          </w:p>
        </w:tc>
      </w:tr>
      <w:tr>
        <w:tc>
          <w:tcPr>
            <w:tcW w:type="dxa" w:w="1741"/>
          </w:tcPr>
          <w:p>
            <w:pPr>
              <w:spacing w:before="32" w:after="32" w:line="240" w:lineRule="auto"/>
              <w:jc w:val="left"/>
            </w:pPr>
            <w:r>
              <w:rPr>
                <w:b w:val="0"/>
                <w:color w:val="0B0B0B"/>
                <w:sz w:val="14"/>
              </w:rPr>
              <w:t>Reversion to 16-yr mean</w:t>
            </w:r>
          </w:p>
        </w:tc>
        <w:tc>
          <w:tcPr>
            <w:tcW w:type="dxa" w:w="900"/>
          </w:tcPr>
          <w:p>
            <w:pPr>
              <w:spacing w:before="32" w:after="32" w:line="240" w:lineRule="auto"/>
              <w:jc w:val="right"/>
            </w:pPr>
            <w:r>
              <w:rPr>
                <w:b w:val="0"/>
                <w:color w:val="0B0B0B"/>
                <w:sz w:val="14"/>
              </w:rPr>
              <w:t>9.0x</w:t>
            </w:r>
          </w:p>
        </w:tc>
        <w:tc>
          <w:tcPr>
            <w:tcW w:type="dxa" w:w="900"/>
          </w:tcPr>
          <w:p>
            <w:pPr>
              <w:spacing w:before="32" w:after="32" w:line="240" w:lineRule="auto"/>
              <w:jc w:val="right"/>
            </w:pPr>
            <w:r>
              <w:rPr>
                <w:b w:val="0"/>
                <w:color w:val="0B0B0B"/>
                <w:sz w:val="14"/>
              </w:rPr>
              <w:t>FY28E</w:t>
            </w:r>
          </w:p>
        </w:tc>
        <w:tc>
          <w:tcPr>
            <w:tcW w:type="dxa" w:w="1141"/>
          </w:tcPr>
          <w:p>
            <w:pPr>
              <w:spacing w:before="32" w:after="32" w:line="240" w:lineRule="auto"/>
              <w:jc w:val="right"/>
            </w:pPr>
            <w:r>
              <w:rPr>
                <w:b w:val="0"/>
                <w:color w:val="0B0B0B"/>
                <w:sz w:val="14"/>
              </w:rPr>
              <w:t>15,942</w:t>
            </w:r>
          </w:p>
        </w:tc>
        <w:tc>
          <w:tcPr>
            <w:tcW w:type="dxa" w:w="1321"/>
          </w:tcPr>
          <w:p>
            <w:pPr>
              <w:spacing w:before="32" w:after="32" w:line="240" w:lineRule="auto"/>
              <w:jc w:val="right"/>
            </w:pPr>
            <w:r>
              <w:rPr>
                <w:b w:val="0"/>
                <w:color w:val="0B0B0B"/>
                <w:sz w:val="14"/>
              </w:rPr>
              <w:t>143,477</w:t>
            </w:r>
          </w:p>
        </w:tc>
        <w:tc>
          <w:tcPr>
            <w:tcW w:type="dxa" w:w="1141"/>
          </w:tcPr>
          <w:p>
            <w:pPr>
              <w:spacing w:before="32" w:after="32" w:line="240" w:lineRule="auto"/>
              <w:jc w:val="right"/>
            </w:pPr>
            <w:r>
              <w:rPr>
                <w:b w:val="0"/>
                <w:color w:val="0B0B0B"/>
                <w:sz w:val="14"/>
              </w:rPr>
              <w:t>(75,038)</w:t>
            </w:r>
          </w:p>
        </w:tc>
        <w:tc>
          <w:tcPr>
            <w:tcW w:type="dxa" w:w="1141"/>
          </w:tcPr>
          <w:p>
            <w:pPr>
              <w:spacing w:before="32" w:after="32" w:line="240" w:lineRule="auto"/>
              <w:jc w:val="right"/>
            </w:pPr>
            <w:r>
              <w:rPr>
                <w:b w:val="0"/>
                <w:color w:val="0B0B0B"/>
                <w:sz w:val="14"/>
              </w:rPr>
              <w:t>68,439</w:t>
            </w:r>
          </w:p>
        </w:tc>
        <w:tc>
          <w:tcPr>
            <w:tcW w:type="dxa" w:w="1080"/>
          </w:tcPr>
          <w:p>
            <w:pPr>
              <w:spacing w:before="32" w:after="32" w:line="240" w:lineRule="auto"/>
              <w:jc w:val="right"/>
            </w:pPr>
            <w:r>
              <w:rPr>
                <w:b w:val="0"/>
                <w:color w:val="0B0B0B"/>
                <w:sz w:val="14"/>
              </w:rPr>
              <w:t>Rs.373</w:t>
            </w:r>
          </w:p>
        </w:tc>
        <w:tc>
          <w:tcPr>
            <w:tcW w:type="dxa" w:w="840"/>
          </w:tcPr>
          <w:p>
            <w:pPr>
              <w:spacing w:before="32" w:after="32" w:line="240" w:lineRule="auto"/>
              <w:jc w:val="right"/>
            </w:pPr>
            <w:r>
              <w:rPr>
                <w:b w:val="0"/>
                <w:color w:val="0B0B0B"/>
                <w:sz w:val="14"/>
              </w:rPr>
              <w:t>(33%)</w:t>
            </w:r>
          </w:p>
        </w:tc>
      </w:tr>
    </w:tbl>
    <w:p>
      <w:pPr>
        <w:spacing w:before="40" w:after="120"/>
      </w:pPr>
      <w:r>
        <w:rPr>
          <w:b w:val="0"/>
          <w:i/>
          <w:color w:val="8A8880"/>
          <w:sz w:val="14"/>
        </w:rPr>
        <w:t>Net debt deducted is gross debt less cash and current investments at the end of the prior financial year — Rs.75,038cr at FY27E-end for the FY28E cases, Rs.86,670cr at FY28E-end for the FY29E case. Shares: 1,833.5mn post-QIP, as the model uses. Multiples are the exact values in the model's valuation matrix; the row labels in that sheet read 9x/10x/12x but the cells contain 8.0x, 10.2x and 11.9x, and we have used the cells. Implied EV/EBITDA at the current price is 11.16x FY28E.</w:t>
      </w:r>
    </w:p>
    <w:p>
      <w:pPr>
        <w:spacing w:before="0" w:after="100"/>
      </w:pPr>
      <w:r>
        <w:rPr>
          <w:b w:val="0"/>
          <w:i w:val="0"/>
          <w:color w:val="0B0B0B"/>
          <w:sz w:val="17"/>
        </w:rPr>
        <w:t>Treasury and the parts the base target does not credit. The base target deducts cash and current investments but does not add back the non-current residual holding in JSW Steel — 7.00cr shares carried at Rs.7,861.80cr in the audited FY26 accounts, or about Rs.34 per share after a 20% holding-company discount. Nor does it value Salboni (3,200MW, first 1,600MW under construction) or the KSK units 3–6 option. The model's separate sum-of-the-parts, which does credit all of these and values the operational portfolio asset by asset — thermal and hydro at 1.5x price-to-book, renewables at 12x EV/EBITDA on FY28 capacity — arrives at Rs.510 per share, below the current price. The two methods bracket the market: an asset-value approach says the stock is 9% expensive, a forward-multiple approach says it is 11% cheap. That spread is the honest answer, and it is why this is a hold.</w:t>
      </w:r>
    </w:p>
    <w:p>
      <w:pPr>
        <w:spacing w:before="0" w:after="100"/>
      </w:pPr>
      <w:r>
        <w:rPr>
          <w:b w:val="0"/>
          <w:i w:val="0"/>
          <w:color w:val="0B0B0B"/>
          <w:sz w:val="17"/>
        </w:rPr>
        <w:t>Why the DCF is not used. The model's discounted cash flow produces a negative equity value of Rs.376 per share. This is not a bearish signal; it is an artefact. Free cash flow to equity is negative in four of the seven forecast years because capex runs ahead of operating cash flow throughout, and with a terminal growth rate of 5% against a 10% WACC applied to a negative terminal cash flow, the terminal value is itself negative. A DCF cannot value a company whose entire value is in assets commissioning after the forecast window. We report the output for completeness and place no weight on it.</w:t>
      </w:r>
    </w:p>
    <w:p>
      <w:pPr>
        <w:spacing w:before="0" w:after="100"/>
      </w:pPr>
      <w:r>
        <w:rPr>
          <w:b w:val="0"/>
          <w:i w:val="0"/>
          <w:color w:val="0B0B0B"/>
          <w:sz w:val="17"/>
        </w:rPr>
        <w:t>Sensitivity — what the base target becomes one notch below assumption:</w:t>
      </w:r>
    </w:p>
    <w:p>
      <w:pPr>
        <w:pStyle w:val="ListBullet"/>
        <w:spacing w:after="50" w:line="252" w:lineRule="auto"/>
        <w:ind w:left="312"/>
      </w:pPr>
      <w:r>
        <w:rPr>
          <w:b/>
          <w:color w:val="0B0B0B"/>
          <w:sz w:val="17"/>
        </w:rPr>
        <w:t xml:space="preserve">FY28E EBITDA 10% below forecast (Rs.14,348cr): </w:t>
      </w:r>
      <w:r>
        <w:rPr>
          <w:color w:val="0B0B0B"/>
          <w:sz w:val="17"/>
        </w:rPr>
        <w:t>target falls to Rs.522, or 7% below the current price. An 11% upside becomes a 7% downside on a 10% earnings miss.</w:t>
      </w:r>
    </w:p>
    <w:p>
      <w:pPr>
        <w:pStyle w:val="ListBullet"/>
        <w:spacing w:after="50" w:line="252" w:lineRule="auto"/>
        <w:ind w:left="312"/>
      </w:pPr>
      <w:r>
        <w:rPr>
          <w:b/>
          <w:color w:val="0B0B0B"/>
          <w:sz w:val="17"/>
        </w:rPr>
        <w:t xml:space="preserve">FY28E EBITDA margin of 50.0% instead of 52.5%: </w:t>
      </w:r>
      <w:r>
        <w:rPr>
          <w:color w:val="0B0B0B"/>
          <w:sz w:val="17"/>
        </w:rPr>
        <w:t>EBITDA of Rs.15,180cr and a target of Rs.576, or +3%.</w:t>
      </w:r>
    </w:p>
    <w:p>
      <w:pPr>
        <w:pStyle w:val="ListBullet"/>
        <w:spacing w:after="50" w:line="252" w:lineRule="auto"/>
        <w:ind w:left="312"/>
      </w:pPr>
      <w:r>
        <w:rPr>
          <w:b/>
          <w:color w:val="0B0B0B"/>
          <w:sz w:val="17"/>
        </w:rPr>
        <w:t xml:space="preserve">Multiple reverting to the 16-year mean of 9.0x: </w:t>
      </w:r>
      <w:r>
        <w:rPr>
          <w:color w:val="0B0B0B"/>
          <w:sz w:val="17"/>
        </w:rPr>
        <w:t>target of Rs.373, or 33% below the current price.</w:t>
      </w:r>
    </w:p>
    <w:p>
      <w:pPr>
        <w:pStyle w:val="ListBullet"/>
        <w:spacing w:after="50" w:line="252" w:lineRule="auto"/>
        <w:ind w:left="312"/>
      </w:pPr>
      <w:r>
        <w:rPr>
          <w:b/>
          <w:color w:val="0B0B0B"/>
          <w:sz w:val="17"/>
        </w:rPr>
        <w:t xml:space="preserve">Adjusting for the 26% minority in KSK Mahanadi: </w:t>
      </w:r>
      <w:r>
        <w:rPr>
          <w:color w:val="0B0B0B"/>
          <w:sz w:val="17"/>
        </w:rPr>
        <w:t>EV/EBITDA values 100% of KSK Mahanadi's EBITDA but the parent owns 74% today. The company has served notice to buy the balance 26%, so the full-consolidation treatment will be correct — but the purchase price, of the order of Rs.1,170cr on the SOTP's own 1.5x book, is not in the model's FY27E net debt of Rs.78,303cr. Adding it reduces the base target by about Rs.6 per share to roughly Rs.619. This replaces the Rs.43 haircut we would have applied had the buyout not been under way, and is the single largest favourable revision in this note.</w:t>
      </w:r>
    </w:p>
    <w:p>
      <w:pPr>
        <w:spacing w:before="0" w:after="160"/>
      </w:pPr>
      <w:r>
        <w:rPr>
          <w:b/>
          <w:i w:val="0"/>
          <w:color w:val="1F3864"/>
          <w:sz w:val="17"/>
        </w:rPr>
        <w:t xml:space="preserve">Rating and target. </w:t>
      </w:r>
      <w:r>
        <w:rPr>
          <w:b w:val="0"/>
          <w:i w:val="0"/>
          <w:color w:val="0B0B0B"/>
          <w:sz w:val="17"/>
        </w:rPr>
        <w:t>HOLD, base target price Rs.625, +11.4% against a CMP of Rs.561, derived as 11.9x FY28E EV/EBITDA less FY27E-end net debt on 1,833mn shares. The rating falls out of the scenario table rather than the narrative: the base case offers 11% over roughly two years, the downside to a mean-reversion of the multiple is 33%, and a 10% EBITDA miss alone flips the upside negative. That is not the risk-reward of a buy.</w:t>
      </w:r>
    </w:p>
    <w:p>
      <w:r>
        <w:br w:type="page"/>
      </w:r>
    </w:p>
    <w:p>
      <w:pPr>
        <w:keepNext/>
        <w:pBdr>
          <w:bottom w:val="single" w:sz="8" w:space="3" w:color="1F3864"/>
        </w:pBdr>
        <w:spacing w:before="240" w:after="40"/>
      </w:pPr>
      <w:r>
        <w:rPr>
          <w:b/>
          <w:color w:val="1F3864"/>
          <w:sz w:val="24"/>
        </w:rPr>
        <w:t>PART D — THE JUDGEMENT</w:t>
      </w:r>
    </w:p>
    <w:p>
      <w:pPr>
        <w:keepNext/>
        <w:spacing w:before="180" w:after="40"/>
      </w:pPr>
      <w:r>
        <w:rPr>
          <w:b/>
          <w:color w:val="1F3864"/>
          <w:sz w:val="21"/>
        </w:rPr>
        <w:t>21.  Corporate Governance Checks</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1994"/>
        <w:gridCol w:w="2580"/>
        <w:gridCol w:w="5630"/>
      </w:tblGrid>
      <w:tr>
        <w:tc>
          <w:tcPr>
            <w:tcW w:type="dxa" w:w="1994"/>
            <w:shd w:val="clear" w:color="auto" w:fill="1F3864"/>
          </w:tcPr>
          <w:p>
            <w:pPr>
              <w:spacing w:before="50" w:after="50"/>
              <w:jc w:val="left"/>
            </w:pPr>
            <w:r>
              <w:rPr>
                <w:b/>
                <w:color w:val="FFFFFF"/>
                <w:sz w:val="14"/>
              </w:rPr>
              <w:t>Parameter</w:t>
            </w:r>
          </w:p>
        </w:tc>
        <w:tc>
          <w:tcPr>
            <w:tcW w:type="dxa" w:w="2581"/>
            <w:shd w:val="clear" w:color="auto" w:fill="1F3864"/>
          </w:tcPr>
          <w:p>
            <w:pPr>
              <w:spacing w:before="50" w:after="50"/>
              <w:jc w:val="right"/>
            </w:pPr>
            <w:r>
              <w:rPr>
                <w:b/>
                <w:color w:val="FFFFFF"/>
                <w:sz w:val="14"/>
              </w:rPr>
              <w:t>Status</w:t>
            </w:r>
          </w:p>
        </w:tc>
        <w:tc>
          <w:tcPr>
            <w:tcW w:type="dxa" w:w="5630"/>
            <w:shd w:val="clear" w:color="auto" w:fill="1F3864"/>
          </w:tcPr>
          <w:p>
            <w:pPr>
              <w:spacing w:before="50" w:after="50"/>
              <w:jc w:val="right"/>
            </w:pPr>
            <w:r>
              <w:rPr>
                <w:b/>
                <w:color w:val="FFFFFF"/>
                <w:sz w:val="14"/>
              </w:rPr>
              <w:t>Comment</w:t>
            </w:r>
          </w:p>
        </w:tc>
      </w:tr>
      <w:tr>
        <w:tc>
          <w:tcPr>
            <w:tcW w:type="dxa" w:w="1994"/>
          </w:tcPr>
          <w:p>
            <w:pPr>
              <w:spacing w:before="32" w:after="32" w:line="240" w:lineRule="auto"/>
              <w:jc w:val="left"/>
            </w:pPr>
            <w:r>
              <w:rPr>
                <w:b w:val="0"/>
                <w:color w:val="0B0B0B"/>
                <w:sz w:val="14"/>
              </w:rPr>
              <w:t>Promoter holding</w:t>
            </w:r>
          </w:p>
        </w:tc>
        <w:tc>
          <w:tcPr>
            <w:tcW w:type="dxa" w:w="2581"/>
          </w:tcPr>
          <w:p>
            <w:pPr>
              <w:spacing w:before="32" w:after="32" w:line="240" w:lineRule="auto"/>
              <w:jc w:val="right"/>
            </w:pPr>
            <w:r>
              <w:rPr>
                <w:b w:val="0"/>
                <w:color w:val="0B0B0B"/>
                <w:sz w:val="14"/>
              </w:rPr>
              <w:t>66.53% (Jun-26), from 69.32% (Sep-24)</w:t>
            </w:r>
          </w:p>
        </w:tc>
        <w:tc>
          <w:tcPr>
            <w:tcW w:type="dxa" w:w="5630"/>
          </w:tcPr>
          <w:p>
            <w:pPr>
              <w:spacing w:before="32" w:after="32" w:line="240" w:lineRule="auto"/>
              <w:jc w:val="right"/>
            </w:pPr>
            <w:r>
              <w:rPr>
                <w:b w:val="0"/>
                <w:color w:val="0B0B0B"/>
                <w:sz w:val="14"/>
              </w:rPr>
              <w:t>The decline is dilution from the FY25 QIP and the FY27 raise, not promoter selling. Promoters have subscribed Rs.625cr of warrants at Rs.525 with Rs.1,875cr still to pay — money going in, not out.</w:t>
            </w:r>
          </w:p>
        </w:tc>
      </w:tr>
      <w:tr>
        <w:tc>
          <w:tcPr>
            <w:tcW w:type="dxa" w:w="1994"/>
            <w:shd w:val="clear" w:color="auto" w:fill="EEF3FA"/>
          </w:tcPr>
          <w:p>
            <w:pPr>
              <w:spacing w:before="32" w:after="32" w:line="240" w:lineRule="auto"/>
              <w:jc w:val="left"/>
            </w:pPr>
            <w:r>
              <w:rPr>
                <w:b w:val="0"/>
                <w:color w:val="0B0B0B"/>
                <w:sz w:val="14"/>
              </w:rPr>
              <w:t>Promoter pledge</w:t>
            </w:r>
          </w:p>
        </w:tc>
        <w:tc>
          <w:tcPr>
            <w:tcW w:type="dxa" w:w="2581"/>
            <w:shd w:val="clear" w:color="auto" w:fill="EEF3FA"/>
          </w:tcPr>
          <w:p>
            <w:pPr>
              <w:spacing w:before="32" w:after="32" w:line="240" w:lineRule="auto"/>
              <w:jc w:val="right"/>
            </w:pPr>
            <w:r>
              <w:rPr>
                <w:b w:val="0"/>
                <w:color w:val="0B0B0B"/>
                <w:sz w:val="14"/>
              </w:rPr>
              <w:t>Not disclosed in the annual report</w:t>
            </w:r>
          </w:p>
        </w:tc>
        <w:tc>
          <w:tcPr>
            <w:tcW w:type="dxa" w:w="5630"/>
            <w:shd w:val="clear" w:color="auto" w:fill="EEF3FA"/>
          </w:tcPr>
          <w:p>
            <w:pPr>
              <w:spacing w:before="32" w:after="32" w:line="240" w:lineRule="auto"/>
              <w:jc w:val="right"/>
            </w:pPr>
            <w:r>
              <w:rPr>
                <w:b w:val="0"/>
                <w:color w:val="0B0B0B"/>
                <w:sz w:val="14"/>
              </w:rPr>
              <w:t>The FY26 accounts disclose no pledge of JSW Energy shares by promoters. They do disclose extensive lender security at subsidiary level — a first-ranking pari passu pledge over 51% of JSW Hydro's equity with a negative pledge over the remaining 49%, a 30% share pledge plus a 21% non-disposal undertaking at another borrowing entity, and a 100% share pledge under an ECB. That is normal project finance, not distress. Promoter-level pledge must still be checked in the quarterly shareholding filing.</w:t>
            </w:r>
          </w:p>
        </w:tc>
      </w:tr>
      <w:tr>
        <w:tc>
          <w:tcPr>
            <w:tcW w:type="dxa" w:w="1994"/>
          </w:tcPr>
          <w:p>
            <w:pPr>
              <w:spacing w:before="32" w:after="32" w:line="240" w:lineRule="auto"/>
              <w:jc w:val="left"/>
            </w:pPr>
            <w:r>
              <w:rPr>
                <w:b w:val="0"/>
                <w:color w:val="0B0B0B"/>
                <w:sz w:val="14"/>
              </w:rPr>
              <w:t>Institutional holding trend</w:t>
            </w:r>
          </w:p>
        </w:tc>
        <w:tc>
          <w:tcPr>
            <w:tcW w:type="dxa" w:w="2581"/>
          </w:tcPr>
          <w:p>
            <w:pPr>
              <w:spacing w:before="32" w:after="32" w:line="240" w:lineRule="auto"/>
              <w:jc w:val="right"/>
            </w:pPr>
            <w:r>
              <w:rPr>
                <w:b w:val="0"/>
                <w:color w:val="0B0B0B"/>
                <w:sz w:val="14"/>
              </w:rPr>
              <w:t>FII 14.92% → 11.41%; DII 9.78% → 16.16% over 8 quarters</w:t>
            </w:r>
          </w:p>
        </w:tc>
        <w:tc>
          <w:tcPr>
            <w:tcW w:type="dxa" w:w="5630"/>
          </w:tcPr>
          <w:p>
            <w:pPr>
              <w:spacing w:before="32" w:after="32" w:line="240" w:lineRule="auto"/>
              <w:jc w:val="right"/>
            </w:pPr>
            <w:r>
              <w:rPr>
                <w:b w:val="0"/>
                <w:color w:val="0B0B0B"/>
                <w:sz w:val="14"/>
              </w:rPr>
              <w:t>The direction is the signal: foreign investors have been steady sellers for two years while domestic institutions have absorbed the stock and the QIP. Combined institutional holding rose from 24.7% to 27.6%.</w:t>
            </w:r>
          </w:p>
        </w:tc>
      </w:tr>
      <w:tr>
        <w:tc>
          <w:tcPr>
            <w:tcW w:type="dxa" w:w="1994"/>
            <w:shd w:val="clear" w:color="auto" w:fill="EEF3FA"/>
          </w:tcPr>
          <w:p>
            <w:pPr>
              <w:spacing w:before="32" w:after="32" w:line="240" w:lineRule="auto"/>
              <w:jc w:val="left"/>
            </w:pPr>
            <w:r>
              <w:rPr>
                <w:b w:val="0"/>
                <w:color w:val="0B0B0B"/>
                <w:sz w:val="14"/>
              </w:rPr>
              <w:t>Free float and liquidity</w:t>
            </w:r>
          </w:p>
        </w:tc>
        <w:tc>
          <w:tcPr>
            <w:tcW w:type="dxa" w:w="2581"/>
            <w:shd w:val="clear" w:color="auto" w:fill="EEF3FA"/>
          </w:tcPr>
          <w:p>
            <w:pPr>
              <w:spacing w:before="32" w:after="32" w:line="240" w:lineRule="auto"/>
              <w:jc w:val="right"/>
            </w:pPr>
            <w:r>
              <w:rPr>
                <w:b w:val="0"/>
                <w:color w:val="0B0B0B"/>
                <w:sz w:val="14"/>
              </w:rPr>
              <w:t>33.5% free float; Rs.98,584cr market cap</w:t>
            </w:r>
          </w:p>
        </w:tc>
        <w:tc>
          <w:tcPr>
            <w:tcW w:type="dxa" w:w="5630"/>
            <w:shd w:val="clear" w:color="auto" w:fill="EEF3FA"/>
          </w:tcPr>
          <w:p>
            <w:pPr>
              <w:spacing w:before="32" w:after="32" w:line="240" w:lineRule="auto"/>
              <w:jc w:val="right"/>
            </w:pPr>
            <w:r>
              <w:rPr>
                <w:b w:val="0"/>
                <w:color w:val="0B0B0B"/>
                <w:sz w:val="14"/>
              </w:rPr>
              <w:t>Large-cap, index-weight, liquid. Daily traded value not verified.</w:t>
            </w:r>
          </w:p>
        </w:tc>
      </w:tr>
      <w:tr>
        <w:tc>
          <w:tcPr>
            <w:tcW w:type="dxa" w:w="1994"/>
          </w:tcPr>
          <w:p>
            <w:pPr>
              <w:spacing w:before="32" w:after="32" w:line="240" w:lineRule="auto"/>
              <w:jc w:val="left"/>
            </w:pPr>
            <w:r>
              <w:rPr>
                <w:b w:val="0"/>
                <w:color w:val="0B0B0B"/>
                <w:sz w:val="14"/>
              </w:rPr>
              <w:t>Promoter structure</w:t>
            </w:r>
          </w:p>
        </w:tc>
        <w:tc>
          <w:tcPr>
            <w:tcW w:type="dxa" w:w="2581"/>
          </w:tcPr>
          <w:p>
            <w:pPr>
              <w:spacing w:before="32" w:after="32" w:line="240" w:lineRule="auto"/>
              <w:jc w:val="right"/>
            </w:pPr>
            <w:r>
              <w:rPr>
                <w:b w:val="0"/>
                <w:color w:val="0B0B0B"/>
                <w:sz w:val="14"/>
              </w:rPr>
              <w:t>66.53% across 12+ entities</w:t>
            </w:r>
          </w:p>
        </w:tc>
        <w:tc>
          <w:tcPr>
            <w:tcW w:type="dxa" w:w="5630"/>
          </w:tcPr>
          <w:p>
            <w:pPr>
              <w:spacing w:before="32" w:after="32" w:line="240" w:lineRule="auto"/>
              <w:jc w:val="right"/>
            </w:pPr>
            <w:r>
              <w:rPr>
                <w:b w:val="0"/>
                <w:color w:val="0B0B0B"/>
                <w:sz w:val="14"/>
              </w:rPr>
              <w:t>Largest holders: an entity at 17.73%, Indusglobe Multiventures 14.57%, Siddeshwari Tradex 13.14%, JSL Ltd 8.27%, Virtuous Tradecorp 4.87% and JSW Steel Ltd 4.86% — a reciprocal cross-holding, since JSW Energy also owns Rs.7,862cr of JSW Steel. Family holdings (Tarini Jindal Handa, Tanvi Shete, Parth Jindal) are ~1.4% each.</w:t>
            </w:r>
          </w:p>
        </w:tc>
      </w:tr>
      <w:tr>
        <w:tc>
          <w:tcPr>
            <w:tcW w:type="dxa" w:w="1994"/>
            <w:shd w:val="clear" w:color="auto" w:fill="EEF3FA"/>
          </w:tcPr>
          <w:p>
            <w:pPr>
              <w:spacing w:before="32" w:after="32" w:line="240" w:lineRule="auto"/>
              <w:jc w:val="left"/>
            </w:pPr>
            <w:r>
              <w:rPr>
                <w:b w:val="0"/>
                <w:color w:val="0B0B0B"/>
                <w:sz w:val="14"/>
              </w:rPr>
              <w:t>Investor concalls</w:t>
            </w:r>
          </w:p>
        </w:tc>
        <w:tc>
          <w:tcPr>
            <w:tcW w:type="dxa" w:w="2581"/>
            <w:shd w:val="clear" w:color="auto" w:fill="EEF3FA"/>
          </w:tcPr>
          <w:p>
            <w:pPr>
              <w:spacing w:before="32" w:after="32" w:line="240" w:lineRule="auto"/>
              <w:jc w:val="right"/>
            </w:pPr>
            <w:r>
              <w:rPr>
                <w:b w:val="0"/>
                <w:color w:val="0B0B0B"/>
                <w:sz w:val="14"/>
              </w:rPr>
              <w:t>Held quarterly</w:t>
            </w:r>
          </w:p>
        </w:tc>
        <w:tc>
          <w:tcPr>
            <w:tcW w:type="dxa" w:w="5630"/>
            <w:shd w:val="clear" w:color="auto" w:fill="EEF3FA"/>
          </w:tcPr>
          <w:p>
            <w:pPr>
              <w:spacing w:before="32" w:after="32" w:line="240" w:lineRule="auto"/>
              <w:jc w:val="right"/>
            </w:pPr>
            <w:r>
              <w:rPr>
                <w:b w:val="0"/>
                <w:color w:val="0B0B0B"/>
                <w:sz w:val="14"/>
              </w:rPr>
              <w:t>The company holds quarterly earnings calls with detailed segment and commissioning disclosure — better than sector norm and reflected in the granularity of Section 5.</w:t>
            </w:r>
          </w:p>
        </w:tc>
      </w:tr>
      <w:tr>
        <w:tc>
          <w:tcPr>
            <w:tcW w:type="dxa" w:w="1994"/>
          </w:tcPr>
          <w:p>
            <w:pPr>
              <w:spacing w:before="32" w:after="32" w:line="240" w:lineRule="auto"/>
              <w:jc w:val="left"/>
            </w:pPr>
            <w:r>
              <w:rPr>
                <w:b w:val="0"/>
                <w:color w:val="0B0B0B"/>
                <w:sz w:val="14"/>
              </w:rPr>
              <w:t>Related party transactions</w:t>
            </w:r>
          </w:p>
        </w:tc>
        <w:tc>
          <w:tcPr>
            <w:tcW w:type="dxa" w:w="2581"/>
          </w:tcPr>
          <w:p>
            <w:pPr>
              <w:spacing w:before="32" w:after="32" w:line="240" w:lineRule="auto"/>
              <w:jc w:val="right"/>
            </w:pPr>
            <w:r>
              <w:rPr>
                <w:b w:val="0"/>
                <w:color w:val="0B0B0B"/>
                <w:sz w:val="14"/>
              </w:rPr>
              <w:t>Quantified: ~Rs.804cr of power sales, 4.3% of revenue</w:t>
            </w:r>
          </w:p>
        </w:tc>
        <w:tc>
          <w:tcPr>
            <w:tcW w:type="dxa" w:w="5630"/>
          </w:tcPr>
          <w:p>
            <w:pPr>
              <w:spacing w:before="32" w:after="32" w:line="240" w:lineRule="auto"/>
              <w:jc w:val="right"/>
            </w:pPr>
            <w:r>
              <w:rPr>
                <w:b w:val="0"/>
                <w:color w:val="0B0B0B"/>
                <w:sz w:val="14"/>
              </w:rPr>
              <w:t>JSW Steel Rs.743.90cr, JSW Cement Rs.30.85cr, JSW Jaigarh Port Rs.10.48cr, Epsilon Rs.6.57cr, Severfield Rs.5.23cr, Jindal Saw Rs.3.90cr, JSW Paints Rs.3.41cr. Smaller than the ~1,730MW of captive capacity implies, because much is billed as job-work generation. The group has also guaranteed Rs.599.80cr of a related party's borrowings (FY25: Rs.711.89cr).</w:t>
            </w:r>
          </w:p>
        </w:tc>
      </w:tr>
      <w:tr>
        <w:tc>
          <w:tcPr>
            <w:tcW w:type="dxa" w:w="1994"/>
            <w:shd w:val="clear" w:color="auto" w:fill="EEF3FA"/>
          </w:tcPr>
          <w:p>
            <w:pPr>
              <w:spacing w:before="32" w:after="32" w:line="240" w:lineRule="auto"/>
              <w:jc w:val="left"/>
            </w:pPr>
            <w:r>
              <w:rPr>
                <w:b w:val="0"/>
                <w:color w:val="0B0B0B"/>
                <w:sz w:val="14"/>
              </w:rPr>
              <w:t>Auditor</w:t>
            </w:r>
          </w:p>
        </w:tc>
        <w:tc>
          <w:tcPr>
            <w:tcW w:type="dxa" w:w="2581"/>
            <w:shd w:val="clear" w:color="auto" w:fill="EEF3FA"/>
          </w:tcPr>
          <w:p>
            <w:pPr>
              <w:spacing w:before="32" w:after="32" w:line="240" w:lineRule="auto"/>
              <w:jc w:val="right"/>
            </w:pPr>
            <w:r>
              <w:rPr>
                <w:b w:val="0"/>
                <w:color w:val="0B0B0B"/>
                <w:sz w:val="14"/>
              </w:rPr>
              <w:t>Deloitte Haskins &amp; Sells LLP — unmodified opinion</w:t>
            </w:r>
          </w:p>
        </w:tc>
        <w:tc>
          <w:tcPr>
            <w:tcW w:type="dxa" w:w="5630"/>
            <w:shd w:val="clear" w:color="auto" w:fill="EEF3FA"/>
          </w:tcPr>
          <w:p>
            <w:pPr>
              <w:spacing w:before="32" w:after="32" w:line="240" w:lineRule="auto"/>
              <w:jc w:val="right"/>
            </w:pPr>
            <w:r>
              <w:rPr>
                <w:b w:val="0"/>
                <w:color w:val="0B0B0B"/>
                <w:sz w:val="14"/>
              </w:rPr>
              <w:t>Clean opinion on the FY26 standalone and consolidated accounts. No emphasis-of-matter paragraph. One key audit matter: tariff-related disputes with customers, flagged for the judgement involved and the magnitude of potential exposure. No auditor change in the period.</w:t>
            </w:r>
          </w:p>
        </w:tc>
      </w:tr>
      <w:tr>
        <w:tc>
          <w:tcPr>
            <w:tcW w:type="dxa" w:w="1994"/>
          </w:tcPr>
          <w:p>
            <w:pPr>
              <w:spacing w:before="32" w:after="32" w:line="240" w:lineRule="auto"/>
              <w:jc w:val="left"/>
            </w:pPr>
            <w:r>
              <w:rPr>
                <w:b w:val="0"/>
                <w:color w:val="0B0B0B"/>
                <w:sz w:val="14"/>
              </w:rPr>
              <w:t>SEBI / exchange penalties</w:t>
            </w:r>
          </w:p>
        </w:tc>
        <w:tc>
          <w:tcPr>
            <w:tcW w:type="dxa" w:w="2581"/>
          </w:tcPr>
          <w:p>
            <w:pPr>
              <w:spacing w:before="32" w:after="32" w:line="240" w:lineRule="auto"/>
              <w:jc w:val="right"/>
            </w:pPr>
            <w:r>
              <w:rPr>
                <w:b w:val="0"/>
                <w:color w:val="0B0B0B"/>
                <w:sz w:val="14"/>
              </w:rPr>
              <w:t>None disclosed</w:t>
            </w:r>
          </w:p>
        </w:tc>
        <w:tc>
          <w:tcPr>
            <w:tcW w:type="dxa" w:w="5630"/>
          </w:tcPr>
          <w:p>
            <w:pPr>
              <w:spacing w:before="32" w:after="32" w:line="240" w:lineRule="auto"/>
              <w:jc w:val="right"/>
            </w:pPr>
            <w:r>
              <w:rPr>
                <w:b w:val="0"/>
                <w:color w:val="0B0B0B"/>
                <w:sz w:val="14"/>
              </w:rPr>
              <w:t>No penalty or regulatory action is disclosed in the FY26 accounts and none is recorded in the model.</w:t>
            </w:r>
          </w:p>
        </w:tc>
      </w:tr>
      <w:tr>
        <w:tc>
          <w:tcPr>
            <w:tcW w:type="dxa" w:w="1994"/>
            <w:shd w:val="clear" w:color="auto" w:fill="EEF3FA"/>
          </w:tcPr>
          <w:p>
            <w:pPr>
              <w:spacing w:before="32" w:after="32" w:line="240" w:lineRule="auto"/>
              <w:jc w:val="left"/>
            </w:pPr>
            <w:r>
              <w:rPr>
                <w:b w:val="0"/>
                <w:color w:val="0B0B0B"/>
                <w:sz w:val="14"/>
              </w:rPr>
              <w:t>Dividend track record</w:t>
            </w:r>
          </w:p>
        </w:tc>
        <w:tc>
          <w:tcPr>
            <w:tcW w:type="dxa" w:w="2581"/>
            <w:shd w:val="clear" w:color="auto" w:fill="EEF3FA"/>
          </w:tcPr>
          <w:p>
            <w:pPr>
              <w:spacing w:before="32" w:after="32" w:line="240" w:lineRule="auto"/>
              <w:jc w:val="right"/>
            </w:pPr>
            <w:r>
              <w:rPr>
                <w:b w:val="0"/>
                <w:color w:val="0B0B0B"/>
                <w:sz w:val="14"/>
              </w:rPr>
              <w:t>Rs.2.00/share paid in each of FY22A–FY26A</w:t>
            </w:r>
          </w:p>
        </w:tc>
        <w:tc>
          <w:tcPr>
            <w:tcW w:type="dxa" w:w="5630"/>
            <w:shd w:val="clear" w:color="auto" w:fill="EEF3FA"/>
          </w:tcPr>
          <w:p>
            <w:pPr>
              <w:spacing w:before="32" w:after="32" w:line="240" w:lineRule="auto"/>
              <w:jc w:val="right"/>
            </w:pPr>
            <w:r>
              <w:rPr>
                <w:b w:val="0"/>
                <w:color w:val="0B0B0B"/>
                <w:sz w:val="14"/>
              </w:rPr>
              <w:t>Unbroken but static, and a 0.36% yield. Payout has fallen from 22% to 16% as earnings grew. The model raises DPS to Rs.2.40 by FY28E.</w:t>
            </w:r>
          </w:p>
        </w:tc>
      </w:tr>
      <w:tr>
        <w:tc>
          <w:tcPr>
            <w:tcW w:type="dxa" w:w="1994"/>
          </w:tcPr>
          <w:p>
            <w:pPr>
              <w:spacing w:before="32" w:after="32" w:line="240" w:lineRule="auto"/>
              <w:jc w:val="left"/>
            </w:pPr>
            <w:r>
              <w:rPr>
                <w:b w:val="0"/>
                <w:color w:val="0B0B0B"/>
                <w:sz w:val="14"/>
              </w:rPr>
              <w:t>Treasury deployment</w:t>
            </w:r>
          </w:p>
        </w:tc>
        <w:tc>
          <w:tcPr>
            <w:tcW w:type="dxa" w:w="2581"/>
          </w:tcPr>
          <w:p>
            <w:pPr>
              <w:spacing w:before="32" w:after="32" w:line="240" w:lineRule="auto"/>
              <w:jc w:val="right"/>
            </w:pPr>
            <w:r>
              <w:rPr>
                <w:b w:val="0"/>
                <w:color w:val="0B0B0B"/>
                <w:sz w:val="14"/>
              </w:rPr>
              <w:t>Rs.7,862cr of JSW Steel shares still held</w:t>
            </w:r>
          </w:p>
        </w:tc>
        <w:tc>
          <w:tcPr>
            <w:tcW w:type="dxa" w:w="5630"/>
          </w:tcPr>
          <w:p>
            <w:pPr>
              <w:spacing w:before="32" w:after="32" w:line="240" w:lineRule="auto"/>
              <w:jc w:val="right"/>
            </w:pPr>
            <w:r>
              <w:rPr>
                <w:b w:val="0"/>
                <w:color w:val="0B0B0B"/>
                <w:sz w:val="14"/>
              </w:rPr>
              <w:t>Rs.3,150cr was monetised in the FY27 capital raise. The residual 7.00cr shares are carried at fair value through OCI. Still an idle cross-holding financed at the margin by 8.36% debt.</w:t>
            </w:r>
          </w:p>
        </w:tc>
      </w:tr>
      <w:tr>
        <w:tc>
          <w:tcPr>
            <w:tcW w:type="dxa" w:w="1994"/>
            <w:shd w:val="clear" w:color="auto" w:fill="EEF3FA"/>
          </w:tcPr>
          <w:p>
            <w:pPr>
              <w:spacing w:before="32" w:after="32" w:line="240" w:lineRule="auto"/>
              <w:jc w:val="left"/>
            </w:pPr>
            <w:r>
              <w:rPr>
                <w:b w:val="0"/>
                <w:color w:val="0B0B0B"/>
                <w:sz w:val="14"/>
              </w:rPr>
              <w:t>Credit rating</w:t>
            </w:r>
          </w:p>
        </w:tc>
        <w:tc>
          <w:tcPr>
            <w:tcW w:type="dxa" w:w="2581"/>
            <w:shd w:val="clear" w:color="auto" w:fill="EEF3FA"/>
          </w:tcPr>
          <w:p>
            <w:pPr>
              <w:spacing w:before="32" w:after="32" w:line="240" w:lineRule="auto"/>
              <w:jc w:val="right"/>
            </w:pPr>
            <w:r>
              <w:rPr>
                <w:b w:val="0"/>
                <w:color w:val="0B0B0B"/>
                <w:sz w:val="14"/>
              </w:rPr>
              <w:t>AA (stable), ICRA and India Ratings</w:t>
            </w:r>
          </w:p>
        </w:tc>
        <w:tc>
          <w:tcPr>
            <w:tcW w:type="dxa" w:w="5630"/>
            <w:shd w:val="clear" w:color="auto" w:fill="EEF3FA"/>
          </w:tcPr>
          <w:p>
            <w:pPr>
              <w:spacing w:before="32" w:after="32" w:line="240" w:lineRule="auto"/>
              <w:jc w:val="right"/>
            </w:pPr>
            <w:r>
              <w:rPr>
                <w:b w:val="0"/>
                <w:color w:val="0B0B0B"/>
                <w:sz w:val="14"/>
              </w:rPr>
              <w:t>Reaffirmed. Weighted average cost of debt fell 67bp to 8.36% in FY26, which is the market's verdict on the credit. Interest cover of 1.70x in FY26A remains thin for the category.</w:t>
            </w:r>
          </w:p>
        </w:tc>
      </w:tr>
      <w:tr>
        <w:tc>
          <w:tcPr>
            <w:tcW w:type="dxa" w:w="1994"/>
          </w:tcPr>
          <w:p>
            <w:pPr>
              <w:spacing w:before="32" w:after="32" w:line="240" w:lineRule="auto"/>
              <w:jc w:val="left"/>
            </w:pPr>
            <w:r>
              <w:rPr>
                <w:b w:val="0"/>
                <w:color w:val="0B0B0B"/>
                <w:sz w:val="14"/>
              </w:rPr>
              <w:t>Capital commitments</w:t>
            </w:r>
          </w:p>
        </w:tc>
        <w:tc>
          <w:tcPr>
            <w:tcW w:type="dxa" w:w="2581"/>
          </w:tcPr>
          <w:p>
            <w:pPr>
              <w:spacing w:before="32" w:after="32" w:line="240" w:lineRule="auto"/>
              <w:jc w:val="right"/>
            </w:pPr>
            <w:r>
              <w:rPr>
                <w:b w:val="0"/>
                <w:color w:val="0B0B0B"/>
                <w:sz w:val="14"/>
              </w:rPr>
              <w:t>Rs.24,184cr contracted at 31 Mar 2026</w:t>
            </w:r>
          </w:p>
        </w:tc>
        <w:tc>
          <w:tcPr>
            <w:tcW w:type="dxa" w:w="5630"/>
          </w:tcPr>
          <w:p>
            <w:pPr>
              <w:spacing w:before="32" w:after="32" w:line="240" w:lineRule="auto"/>
              <w:jc w:val="right"/>
            </w:pPr>
            <w:r>
              <w:rPr>
                <w:b w:val="0"/>
                <w:color w:val="0B0B0B"/>
                <w:sz w:val="14"/>
              </w:rPr>
              <w:t>Up 2.7x from Rs.8,796cr. Contractually committed, so the capex programme is not discretionary from here.</w:t>
            </w:r>
          </w:p>
        </w:tc>
      </w:tr>
    </w:tbl>
    <w:p>
      <w:pPr>
        <w:spacing w:before="0" w:after="80"/>
      </w:pPr>
      <w:r>
        <w:rPr>
          <w:b w:val="0"/>
          <w:i w:val="0"/>
          <w:color w:val="0B0B0B"/>
          <w:sz w:val="8"/>
        </w:rPr>
      </w:r>
    </w:p>
    <w:p>
      <w:pPr>
        <w:spacing w:before="0" w:after="100"/>
      </w:pPr>
      <w:r>
        <w:rPr>
          <w:b w:val="0"/>
          <w:i w:val="0"/>
          <w:color w:val="0B0B0B"/>
          <w:sz w:val="17"/>
        </w:rPr>
        <w:t>Separating red flags from structural quirks. Having now read the audited FY26 accounts, this section reads better than we expected. The auditor's opinion is unmodified with no emphasis of matter, the single key audit matter is a tariff dispute rather than an accounting judgement about revenue or asset values, no regulatory penalty is disclosed, and related-party power sales are 4.3% of revenue rather than the far larger number the captive capacity implies. The structural quirks — a 74% stake in the best asset (now being bought in), a holdco layer for renewables, project-level share pledges to lenders, a fuel JV with a Rajasthan state entity — are how Indian power assets are financed and contracted. What we would still flag: the reciprocal cross-holding with JSW Steel in both directions; a dividend maintained through four years of large negative free cash flow; and the Rs.599.80cr guarantee of a related party's borrowings. The one item that remains genuinely unverified is promoter-level pledge, which is disclosed in the quarterly shareholding filing rather than in the annual report and should be checked before acting.</w:t>
      </w:r>
    </w:p>
    <w:p>
      <w:pPr>
        <w:keepNext/>
        <w:spacing w:before="180" w:after="40"/>
      </w:pPr>
      <w:r>
        <w:rPr>
          <w:b/>
          <w:color w:val="1F3864"/>
          <w:sz w:val="21"/>
        </w:rPr>
        <w:t>22.  Contingent Liabilities, Litigation and Accounting Quality</w:t>
      </w:r>
    </w:p>
    <w:p>
      <w:pPr>
        <w:spacing w:before="0" w:after="100"/>
      </w:pPr>
      <w:r>
        <w:rPr>
          <w:b w:val="0"/>
          <w:i w:val="0"/>
          <w:color w:val="0B0B0B"/>
          <w:sz w:val="17"/>
        </w:rPr>
        <w:t>None of this is in the financial model, so it is taken from note 33 of the FY26 consolidated accounts. Claims against the group not acknowledged as debt totalled Rs.2,519.61cr at 31 March 2026, marginally lower than Rs.2,646.67cr a year earlier. Adding tariff disputes with customers of Rs.340.23cr, financial guarantees of Rs.604.80cr (Rs.599.80cr of it for a related party) and the group's Rs.1,041.13cr share of Barmer Lignite Mining's claims gives roughly Rs.4,506cr of aggregate contingent exposure, about 15% of the Rs.30,752cr net worth. That is a manageable number for a company of this size and, importantly, it is not growing.</w:t>
      </w:r>
    </w:p>
    <w:p>
      <w:pPr>
        <w:pStyle w:val="ListBullet"/>
        <w:spacing w:after="50" w:line="252" w:lineRule="auto"/>
        <w:ind w:left="312"/>
      </w:pPr>
      <w:r>
        <w:rPr>
          <w:b/>
          <w:color w:val="0B0B0B"/>
          <w:sz w:val="17"/>
        </w:rPr>
        <w:t xml:space="preserve">A negative tax rate carried FY26A earnings — now explained. </w:t>
      </w:r>
      <w:r>
        <w:rPr>
          <w:color w:val="0B0B0B"/>
          <w:sz w:val="17"/>
        </w:rPr>
        <w:t>The consolidated tax charge in FY26A was negative Rs.777cr on a positive PBT of Rs.1,974cr — an effective rate of minus 39%, driven by a Rs.946cr deferred-tax credit in 3QFY26 and a further Rs.371cr in 4QFY26. The CFO explained it on the Q4FY26 call: deferred tax assets were recognised at Utkal, where unabsorbed depreciation and business losses became recoverable once the PPAs were signed, and at KSK. It is therefore a legitimate, explained, one-off recognition rather than an accounting concern — but it is not repeatable, and management guided the effective rate to 23–24% from here. Normalising FY26A to 25% puts PAT after minority at roughly Rs.969cr against the reported Rs.2,239cr: reported earnings growth of +15% becomes about –50%. Anyone anchoring on FY26A EPS of Rs.12.74 is anchoring on a tax-assisted number.</w:t>
      </w:r>
    </w:p>
    <w:p>
      <w:pPr>
        <w:pStyle w:val="ListBullet"/>
        <w:spacing w:after="50" w:line="252" w:lineRule="auto"/>
        <w:ind w:left="312"/>
      </w:pPr>
      <w:r>
        <w:rPr>
          <w:b/>
          <w:color w:val="0B0B0B"/>
          <w:sz w:val="17"/>
        </w:rPr>
        <w:t xml:space="preserve">The minority-interest assumption — resolved, but only half of it. </w:t>
      </w:r>
      <w:r>
        <w:rPr>
          <w:color w:val="0B0B0B"/>
          <w:sz w:val="17"/>
        </w:rPr>
        <w:t>Minority interest was Rs.523cr in FY26A — 19% of pre-minority PAT, consistent with 26% of KSK Mahanadi sitting outside the group. The model forecasts it collapsing to Rs.232cr in FY27E and Rs.24cr in FY28E. We had flagged this as unexplained; it is not. Management confirmed on the Q4FY26 call that it has already served notice to exercise its call option over the balance 26% of KSK Mahanadi, and that the minority outflow will fall materially once the purchase completes. The assumption is therefore directionally right. What is missing is the other side of it: the consideration is not yet crystallised — the CFO expected a number by the end of Q2FY27 — and no cash outflow for it appears anywhere in the model's investing line. On the SOTP's own 1.5x price-to-book for KSK, 26% would be roughly Rs.1,170cr of cash, which is not in the Rs.78,303cr FY27E net debt. The earnings are in the forecast; the cost of buying them is not.</w:t>
      </w:r>
    </w:p>
    <w:p>
      <w:pPr>
        <w:pStyle w:val="ListBullet"/>
        <w:spacing w:after="50" w:line="252" w:lineRule="auto"/>
        <w:ind w:left="312"/>
      </w:pPr>
      <w:r>
        <w:rPr>
          <w:b/>
          <w:color w:val="0B0B0B"/>
          <w:sz w:val="17"/>
        </w:rPr>
        <w:t xml:space="preserve">Capitalisation and impairment risk. </w:t>
      </w:r>
      <w:r>
        <w:rPr>
          <w:color w:val="0B0B0B"/>
          <w:sz w:val="17"/>
        </w:rPr>
        <w:t>Capital work-in-progress stood at Rs.17,465cr at FY26A, 20% of gross block, and the model has it peaking at Rs.25,603cr in FY27E. That is normal for a company mid-build, but it is also the account where cost overruns and impairment can sit unrecognised. The 500MW SECI BESS-1 project — letter of award July 2022, marked 'Project under Dispute' — carries an explicit no-impairment assumption in the model against Rs.2,800cr of planned project cost. The 1GW solar module plant is marked 'Project on Hold' against Rs.1,600cr of planned capex.</w:t>
      </w:r>
    </w:p>
    <w:p>
      <w:pPr>
        <w:pStyle w:val="ListBullet"/>
        <w:spacing w:after="50" w:line="252" w:lineRule="auto"/>
        <w:ind w:left="312"/>
      </w:pPr>
      <w:r>
        <w:rPr>
          <w:b/>
          <w:color w:val="0B0B0B"/>
          <w:sz w:val="17"/>
        </w:rPr>
        <w:t xml:space="preserve">A balance-sheet line worth reading. </w:t>
      </w:r>
      <w:r>
        <w:rPr>
          <w:color w:val="0B0B0B"/>
          <w:sz w:val="17"/>
        </w:rPr>
        <w:t>Other current liabilities rose from Rs.2,244cr in FY24A to Rs.5,439cr in FY25A and Rs.7,654cr in FY26A, and the model then holds the line flat through FY30E. A Rs.5,400cr increase in two years is large enough to warrant reading the note; holding it flat for four years while the balance sheet grows 50% is a modelling convention, not a forecast.</w:t>
      </w:r>
    </w:p>
    <w:p>
      <w:pPr>
        <w:pStyle w:val="ListBullet"/>
        <w:spacing w:after="50" w:line="252" w:lineRule="auto"/>
        <w:ind w:left="312"/>
      </w:pPr>
      <w:r>
        <w:rPr>
          <w:b/>
          <w:color w:val="0B0B0B"/>
          <w:sz w:val="17"/>
        </w:rPr>
        <w:t xml:space="preserve">Receivable and inventory ageing. </w:t>
      </w:r>
      <w:r>
        <w:rPr>
          <w:color w:val="0B0B0B"/>
          <w:sz w:val="17"/>
        </w:rPr>
        <w:t>Receivables at 62 days on the company's measure against 76 a year earlier, and inventory at 19 days against 28 — both improving, both consistent with a shift towards contracted renewable revenue and a better counterparty mix. Nothing here looks inconsistent with reported growth.</w:t>
      </w:r>
    </w:p>
    <w:p>
      <w:pPr>
        <w:pStyle w:val="ListBullet"/>
        <w:spacing w:after="50" w:line="252" w:lineRule="auto"/>
        <w:ind w:left="312"/>
      </w:pPr>
      <w:r>
        <w:rPr>
          <w:b/>
          <w:color w:val="0B0B0B"/>
          <w:sz w:val="17"/>
        </w:rPr>
        <w:t xml:space="preserve">What is actually in the Rs.2,520cr. </w:t>
      </w:r>
      <w:r>
        <w:rPr>
          <w:color w:val="0B0B0B"/>
          <w:sz w:val="17"/>
        </w:rPr>
        <w:t>The largest single items are water cess of Rs.645.47cr (up from Rs.406.93cr, and recoverable from customers under the agreements if it goes against the company), a Rs.468.10cr penalty from the Water Resources Department on raw water charges, Rs.422.53cr of interest on a generation tax demand, Rs.243.99cr of customs duty, and Rs.139.83cr on survey and investigation work. Two items disappeared in FY26 — Rs.285.45cr of rail charges and Rs.381.58cr of water transport charges — because the group bought the counterparties (the KSK rail and water SPVs) and both cases are being withdrawn. New this year: Rs.98cr of contract-employee provident fund dues predating the KSK insolvency acquisition, Rs.58.36cr of Telangana deviation settlement charges and Rs.48.72cr disputed with HPPTCL on transmission. The 51%-owned Barmer Lignite JV carries a further Rs.789.52cr service tax claim within its Rs.1,041.13cr total.</w:t>
      </w:r>
    </w:p>
    <w:p>
      <w:pPr>
        <w:pStyle w:val="ListBullet"/>
        <w:spacing w:after="50" w:line="252" w:lineRule="auto"/>
        <w:ind w:left="312"/>
      </w:pPr>
      <w:r>
        <w:rPr>
          <w:b/>
          <w:color w:val="0B0B0B"/>
          <w:sz w:val="17"/>
        </w:rPr>
        <w:t xml:space="preserve">The Himachal free-power ruling. </w:t>
      </w:r>
      <w:r>
        <w:rPr>
          <w:color w:val="0B0B0B"/>
          <w:sz w:val="17"/>
        </w:rPr>
        <w:t>This is the one item in the accounts that permanently reduces earnings and is nowhere in the model. JSW Hydro was obliged to supply 12% free power to Himachal Pradesh for the first twelve years and 18% thereafter; a CERC order of March 2022 capped it at 12%, the Himachal High Court agreed in May 2024, and the Supreme Court then set that aside on 16 July 2025 and directed 18% free power from 14 September 2023. The company began supplying 18% on 19 July 2025 and agreed on 12 November 2025 to make good the arrears of 6% for the intervening 22 months out of future untied generation at Karcham Wangtoo. Karcham Wangtoo generates roughly 4,780 million units a year, so six percentage points is of the order of 287 million units annually, permanently, from the company's highest-margin asset — plus a back-period catch-up. The model's hydro EBITDA of Rs.1,376cr in FY27E does not visibly reflect it.</w:t>
      </w:r>
    </w:p>
    <w:p>
      <w:pPr>
        <w:keepNext/>
        <w:spacing w:before="180" w:after="40"/>
      </w:pPr>
      <w:r>
        <w:rPr>
          <w:b/>
          <w:color w:val="1F3864"/>
          <w:sz w:val="21"/>
        </w:rPr>
        <w:t>23.  Management Team and Guidance vs Delivery</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2111"/>
        <w:gridCol w:w="3050"/>
        <w:gridCol w:w="5044"/>
      </w:tblGrid>
      <w:tr>
        <w:tc>
          <w:tcPr>
            <w:tcW w:type="dxa" w:w="2111"/>
            <w:shd w:val="clear" w:color="auto" w:fill="1F3864"/>
          </w:tcPr>
          <w:p>
            <w:pPr>
              <w:spacing w:before="50" w:after="50"/>
              <w:jc w:val="left"/>
            </w:pPr>
            <w:r>
              <w:rPr>
                <w:b/>
                <w:color w:val="FFFFFF"/>
                <w:sz w:val="14"/>
              </w:rPr>
              <w:t>Name / role</w:t>
            </w:r>
          </w:p>
        </w:tc>
        <w:tc>
          <w:tcPr>
            <w:tcW w:type="dxa" w:w="3050"/>
            <w:shd w:val="clear" w:color="auto" w:fill="1F3864"/>
          </w:tcPr>
          <w:p>
            <w:pPr>
              <w:spacing w:before="50" w:after="50"/>
              <w:jc w:val="right"/>
            </w:pPr>
            <w:r>
              <w:rPr>
                <w:b/>
                <w:color w:val="FFFFFF"/>
                <w:sz w:val="14"/>
              </w:rPr>
              <w:t>Background</w:t>
            </w:r>
          </w:p>
        </w:tc>
        <w:tc>
          <w:tcPr>
            <w:tcW w:type="dxa" w:w="5044"/>
            <w:shd w:val="clear" w:color="auto" w:fill="1F3864"/>
          </w:tcPr>
          <w:p>
            <w:pPr>
              <w:spacing w:before="50" w:after="50"/>
              <w:jc w:val="right"/>
            </w:pPr>
            <w:r>
              <w:rPr>
                <w:b/>
                <w:color w:val="FFFFFF"/>
                <w:sz w:val="14"/>
              </w:rPr>
              <w:t>Our assessment</w:t>
            </w:r>
          </w:p>
        </w:tc>
      </w:tr>
      <w:tr>
        <w:tc>
          <w:tcPr>
            <w:tcW w:type="dxa" w:w="2111"/>
          </w:tcPr>
          <w:p>
            <w:pPr>
              <w:spacing w:before="32" w:after="32" w:line="240" w:lineRule="auto"/>
              <w:jc w:val="left"/>
            </w:pPr>
            <w:r>
              <w:rPr>
                <w:b w:val="0"/>
                <w:color w:val="0B0B0B"/>
                <w:sz w:val="14"/>
              </w:rPr>
              <w:t>Sajjan Jindal — Chairman &amp; Managing Director</w:t>
            </w:r>
          </w:p>
        </w:tc>
        <w:tc>
          <w:tcPr>
            <w:tcW w:type="dxa" w:w="3050"/>
          </w:tcPr>
          <w:p>
            <w:pPr>
              <w:spacing w:before="32" w:after="32" w:line="240" w:lineRule="auto"/>
              <w:jc w:val="right"/>
            </w:pPr>
            <w:r>
              <w:rPr>
                <w:b w:val="0"/>
                <w:color w:val="0B0B0B"/>
                <w:sz w:val="14"/>
              </w:rPr>
              <w:t>Promoter; chairman of the JSW group across steel, cement, energy, infrastructure and paints</w:t>
            </w:r>
          </w:p>
        </w:tc>
        <w:tc>
          <w:tcPr>
            <w:tcW w:type="dxa" w:w="5044"/>
          </w:tcPr>
          <w:p>
            <w:pPr>
              <w:spacing w:before="32" w:after="32" w:line="240" w:lineRule="auto"/>
              <w:jc w:val="right"/>
            </w:pPr>
            <w:r>
              <w:rPr>
                <w:b w:val="0"/>
                <w:color w:val="0B0B0B"/>
                <w:sz w:val="14"/>
              </w:rPr>
              <w:t>The central key-man risk and the central capital-allocation authority. Group-level capital allocation determines whether JSW Energy funds its own build or competes for group capital. Positive: the promoter is putting Rs.2,500cr into warrants at Rs.525, below the market price.</w:t>
            </w:r>
          </w:p>
        </w:tc>
      </w:tr>
      <w:tr>
        <w:tc>
          <w:tcPr>
            <w:tcW w:type="dxa" w:w="2111"/>
            <w:shd w:val="clear" w:color="auto" w:fill="EEF3FA"/>
          </w:tcPr>
          <w:p>
            <w:pPr>
              <w:spacing w:before="32" w:after="32" w:line="240" w:lineRule="auto"/>
              <w:jc w:val="left"/>
            </w:pPr>
            <w:r>
              <w:rPr>
                <w:b w:val="0"/>
                <w:color w:val="0B0B0B"/>
                <w:sz w:val="14"/>
              </w:rPr>
              <w:t>Sharad Mahendra — Joint MD &amp; CEO (since Feb 2024)</w:t>
            </w:r>
          </w:p>
        </w:tc>
        <w:tc>
          <w:tcPr>
            <w:tcW w:type="dxa" w:w="3050"/>
            <w:shd w:val="clear" w:color="auto" w:fill="EEF3FA"/>
          </w:tcPr>
          <w:p>
            <w:pPr>
              <w:spacing w:before="32" w:after="32" w:line="240" w:lineRule="auto"/>
              <w:jc w:val="right"/>
            </w:pPr>
            <w:r>
              <w:rPr>
                <w:b w:val="0"/>
                <w:color w:val="0B0B0B"/>
                <w:sz w:val="14"/>
              </w:rPr>
              <w:t>Long-serving JSW Energy executive</w:t>
            </w:r>
          </w:p>
        </w:tc>
        <w:tc>
          <w:tcPr>
            <w:tcW w:type="dxa" w:w="5044"/>
            <w:shd w:val="clear" w:color="auto" w:fill="EEF3FA"/>
          </w:tcPr>
          <w:p>
            <w:pPr>
              <w:spacing w:before="32" w:after="32" w:line="240" w:lineRule="auto"/>
              <w:jc w:val="right"/>
            </w:pPr>
            <w:r>
              <w:rPr>
                <w:b w:val="0"/>
                <w:color w:val="0B0B0B"/>
                <w:sz w:val="14"/>
              </w:rPr>
              <w:t>Two years into the role and running the largest build in the company's history. Operating disclosure has improved on his watch — quarterly segment and commissioning detail is above sector norm. Unproven on a downcycle.</w:t>
            </w:r>
          </w:p>
        </w:tc>
      </w:tr>
      <w:tr>
        <w:tc>
          <w:tcPr>
            <w:tcW w:type="dxa" w:w="2111"/>
          </w:tcPr>
          <w:p>
            <w:pPr>
              <w:spacing w:before="32" w:after="32" w:line="240" w:lineRule="auto"/>
              <w:jc w:val="left"/>
            </w:pPr>
            <w:r>
              <w:rPr>
                <w:b w:val="0"/>
                <w:color w:val="0B0B0B"/>
                <w:sz w:val="14"/>
              </w:rPr>
              <w:t>Chandrasekaran Prabhakaran — CFO since 1 January 2026</w:t>
            </w:r>
          </w:p>
        </w:tc>
        <w:tc>
          <w:tcPr>
            <w:tcW w:type="dxa" w:w="3050"/>
          </w:tcPr>
          <w:p>
            <w:pPr>
              <w:spacing w:before="32" w:after="32" w:line="240" w:lineRule="auto"/>
              <w:jc w:val="right"/>
            </w:pPr>
            <w:r>
              <w:rPr>
                <w:b w:val="0"/>
                <w:color w:val="0B0B0B"/>
                <w:sz w:val="14"/>
              </w:rPr>
              <w:t>Appointed by the board on 12 December 2025 on the retirement of the previous Director (Finance), Pritesh Vinay, who stepped down from the board on 31 December 2025</w:t>
            </w:r>
          </w:p>
        </w:tc>
        <w:tc>
          <w:tcPr>
            <w:tcW w:type="dxa" w:w="5044"/>
          </w:tcPr>
          <w:p>
            <w:pPr>
              <w:spacing w:before="32" w:after="32" w:line="240" w:lineRule="auto"/>
              <w:jc w:val="right"/>
            </w:pPr>
            <w:r>
              <w:rPr>
                <w:b w:val="0"/>
                <w:color w:val="0B0B0B"/>
                <w:sz w:val="14"/>
              </w:rPr>
              <w:t>A CFO change six months before the largest capital raise in the sector's history is a genuine risk item, and it appears to have been managed: the Rs.10,150cr programme was completed on his watch and the weighted average cost of debt fell 67bp in the same year. His disclosure on the calls — CWIP split, holdco maturity profile, the deferred-tax explanation — is specific and unprompted, which is a good sign.</w:t>
            </w:r>
          </w:p>
        </w:tc>
      </w:tr>
      <w:tr>
        <w:tc>
          <w:tcPr>
            <w:tcW w:type="dxa" w:w="2111"/>
            <w:shd w:val="clear" w:color="auto" w:fill="EEF3FA"/>
          </w:tcPr>
          <w:p>
            <w:pPr>
              <w:spacing w:before="32" w:after="32" w:line="240" w:lineRule="auto"/>
              <w:jc w:val="left"/>
            </w:pPr>
            <w:r>
              <w:rPr>
                <w:b w:val="0"/>
                <w:color w:val="0B0B0B"/>
                <w:sz w:val="14"/>
              </w:rPr>
              <w:t>Bikash Chowdhury — Head, Investor Relations and ERM</w:t>
            </w:r>
          </w:p>
        </w:tc>
        <w:tc>
          <w:tcPr>
            <w:tcW w:type="dxa" w:w="3050"/>
            <w:shd w:val="clear" w:color="auto" w:fill="EEF3FA"/>
          </w:tcPr>
          <w:p>
            <w:pPr>
              <w:spacing w:before="32" w:after="32" w:line="240" w:lineRule="auto"/>
              <w:jc w:val="right"/>
            </w:pPr>
            <w:r>
              <w:rPr>
                <w:b w:val="0"/>
                <w:color w:val="0B0B0B"/>
                <w:sz w:val="14"/>
              </w:rPr>
              <w:t>Fronts the quarterly calls alongside the CEO and CFO</w:t>
            </w:r>
          </w:p>
        </w:tc>
        <w:tc>
          <w:tcPr>
            <w:tcW w:type="dxa" w:w="5044"/>
            <w:shd w:val="clear" w:color="auto" w:fill="EEF3FA"/>
          </w:tcPr>
          <w:p>
            <w:pPr>
              <w:spacing w:before="32" w:after="32" w:line="240" w:lineRule="auto"/>
              <w:jc w:val="right"/>
            </w:pPr>
            <w:r>
              <w:rPr>
                <w:b w:val="0"/>
                <w:color w:val="0B0B0B"/>
                <w:sz w:val="14"/>
              </w:rPr>
              <w:t>Notably, IR explicitly asked analysts on the Q4FY26 call to model KSK Mahanadi at Rs.2,700cr of steady-state EBITDA rather than the Rs.3,300cr+ actually delivered in FY26. Guiding analysts down from a good year is unusual and is a mark in favour of this management's candour.</w:t>
            </w:r>
          </w:p>
        </w:tc>
      </w:tr>
    </w:tbl>
    <w:p>
      <w:pPr>
        <w:spacing w:before="0" w:after="80"/>
      </w:pPr>
      <w:r>
        <w:rPr>
          <w:b w:val="0"/>
          <w:i w:val="0"/>
          <w:color w:val="0B0B0B"/>
          <w:sz w:val="8"/>
        </w:rPr>
      </w:r>
    </w:p>
    <w:p>
      <w:pPr>
        <w:spacing w:before="0" w:after="100"/>
      </w:pPr>
      <w:r>
        <w:rPr>
          <w:b w:val="0"/>
          <w:i w:val="0"/>
          <w:color w:val="0B0B0B"/>
          <w:sz w:val="17"/>
        </w:rPr>
        <w:t>Guidance versus delivery. With both FY26 calls and the FY26 annual report in hand this is now testable against what management actually said, and the record is better than the project tracker alone suggests.</w:t>
      </w:r>
    </w:p>
    <w:tbl>
      <w:tblPr>
        <w:tblW w:w="10206"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firstColumn="1" w:firstRow="1" w:lastColumn="0" w:lastRow="0" w:noHBand="0" w:noVBand="1" w:val="04A0"/>
      </w:tblPr>
      <w:tblGrid>
        <w:gridCol w:w="2580"/>
        <w:gridCol w:w="2111"/>
        <w:gridCol w:w="5513"/>
      </w:tblGrid>
      <w:tr>
        <w:tc>
          <w:tcPr>
            <w:tcW w:type="dxa" w:w="2581"/>
            <w:shd w:val="clear" w:color="auto" w:fill="1F3864"/>
          </w:tcPr>
          <w:p>
            <w:pPr>
              <w:spacing w:before="50" w:after="50"/>
              <w:jc w:val="left"/>
            </w:pPr>
            <w:r>
              <w:rPr>
                <w:b/>
                <w:color w:val="FFFFFF"/>
                <w:sz w:val="14"/>
              </w:rPr>
              <w:t>What was promised</w:t>
            </w:r>
          </w:p>
        </w:tc>
        <w:tc>
          <w:tcPr>
            <w:tcW w:type="dxa" w:w="2111"/>
            <w:shd w:val="clear" w:color="auto" w:fill="1F3864"/>
          </w:tcPr>
          <w:p>
            <w:pPr>
              <w:spacing w:before="50" w:after="50"/>
              <w:jc w:val="right"/>
            </w:pPr>
            <w:r>
              <w:rPr>
                <w:b/>
                <w:color w:val="FFFFFF"/>
                <w:sz w:val="14"/>
              </w:rPr>
              <w:t>When and where</w:t>
            </w:r>
          </w:p>
        </w:tc>
        <w:tc>
          <w:tcPr>
            <w:tcW w:type="dxa" w:w="5513"/>
            <w:shd w:val="clear" w:color="auto" w:fill="1F3864"/>
          </w:tcPr>
          <w:p>
            <w:pPr>
              <w:spacing w:before="50" w:after="50"/>
              <w:jc w:val="right"/>
            </w:pPr>
            <w:r>
              <w:rPr>
                <w:b/>
                <w:color w:val="FFFFFF"/>
                <w:sz w:val="14"/>
              </w:rPr>
              <w:t>What was delivered</w:t>
            </w:r>
          </w:p>
        </w:tc>
      </w:tr>
      <w:tr>
        <w:tc>
          <w:tcPr>
            <w:tcW w:type="dxa" w:w="2581"/>
          </w:tcPr>
          <w:p>
            <w:pPr>
              <w:spacing w:before="32" w:after="32" w:line="240" w:lineRule="auto"/>
              <w:jc w:val="left"/>
            </w:pPr>
            <w:r>
              <w:rPr>
                <w:b w:val="0"/>
                <w:color w:val="0B0B0B"/>
                <w:sz w:val="14"/>
              </w:rPr>
              <w:t>20GW of generation capacity by 2030</w:t>
            </w:r>
          </w:p>
        </w:tc>
        <w:tc>
          <w:tcPr>
            <w:tcW w:type="dxa" w:w="2111"/>
          </w:tcPr>
          <w:p>
            <w:pPr>
              <w:spacing w:before="32" w:after="32" w:line="240" w:lineRule="auto"/>
              <w:jc w:val="right"/>
            </w:pPr>
            <w:r>
              <w:rPr>
                <w:b w:val="0"/>
                <w:color w:val="0B0B0B"/>
                <w:sz w:val="14"/>
              </w:rPr>
              <w:t>announced c.2021</w:t>
            </w:r>
          </w:p>
        </w:tc>
        <w:tc>
          <w:tcPr>
            <w:tcW w:type="dxa" w:w="5513"/>
          </w:tcPr>
          <w:p>
            <w:pPr>
              <w:spacing w:before="32" w:after="32" w:line="240" w:lineRule="auto"/>
              <w:jc w:val="right"/>
            </w:pPr>
            <w:r>
              <w:rPr>
                <w:b w:val="0"/>
                <w:color w:val="0B0B0B"/>
                <w:sz w:val="14"/>
              </w:rPr>
              <w:t>Raised to 30GW plus 40GWh of storage under 'Strategy 3.0'. Locked-in capacity is already 32.1GW and locked-in storage 29.6GWh, with 14GW under construction fully tied under PPAs. Raised and, on the company's own pipeline, over-covered — though the analyst model reaches only 28.3GW.</w:t>
            </w:r>
          </w:p>
        </w:tc>
      </w:tr>
      <w:tr>
        <w:tc>
          <w:tcPr>
            <w:tcW w:type="dxa" w:w="2581"/>
            <w:shd w:val="clear" w:color="auto" w:fill="EEF3FA"/>
          </w:tcPr>
          <w:p>
            <w:pPr>
              <w:spacing w:before="32" w:after="32" w:line="240" w:lineRule="auto"/>
              <w:jc w:val="left"/>
            </w:pPr>
            <w:r>
              <w:rPr>
                <w:b w:val="0"/>
                <w:color w:val="0B0B0B"/>
                <w:sz w:val="14"/>
              </w:rPr>
              <w:t>Kutehr hydro 240MW, CoD September 2024</w:t>
            </w:r>
          </w:p>
        </w:tc>
        <w:tc>
          <w:tcPr>
            <w:tcW w:type="dxa" w:w="2111"/>
            <w:shd w:val="clear" w:color="auto" w:fill="EEF3FA"/>
          </w:tcPr>
          <w:p>
            <w:pPr>
              <w:spacing w:before="32" w:after="32" w:line="240" w:lineRule="auto"/>
              <w:jc w:val="right"/>
            </w:pPr>
            <w:r>
              <w:rPr>
                <w:b w:val="0"/>
                <w:color w:val="0B0B0B"/>
                <w:sz w:val="14"/>
              </w:rPr>
              <w:t>project tracker in the model</w:t>
            </w:r>
          </w:p>
        </w:tc>
        <w:tc>
          <w:tcPr>
            <w:tcW w:type="dxa" w:w="5513"/>
            <w:shd w:val="clear" w:color="auto" w:fill="EEF3FA"/>
          </w:tcPr>
          <w:p>
            <w:pPr>
              <w:spacing w:before="32" w:after="32" w:line="240" w:lineRule="auto"/>
              <w:jc w:val="right"/>
            </w:pPr>
            <w:r>
              <w:rPr>
                <w:b w:val="0"/>
                <w:color w:val="0B0B0B"/>
                <w:sz w:val="14"/>
              </w:rPr>
              <w:t>Commissioned in FY26 — approximately 18 months late.</w:t>
            </w:r>
          </w:p>
        </w:tc>
      </w:tr>
      <w:tr>
        <w:tc>
          <w:tcPr>
            <w:tcW w:type="dxa" w:w="2581"/>
          </w:tcPr>
          <w:p>
            <w:pPr>
              <w:spacing w:before="32" w:after="32" w:line="240" w:lineRule="auto"/>
              <w:jc w:val="left"/>
            </w:pPr>
            <w:r>
              <w:rPr>
                <w:b w:val="0"/>
                <w:color w:val="0B0B0B"/>
                <w:sz w:val="14"/>
              </w:rPr>
              <w:t>Hetero wind 125MW, CoD 31 March 2023</w:t>
            </w:r>
          </w:p>
        </w:tc>
        <w:tc>
          <w:tcPr>
            <w:tcW w:type="dxa" w:w="2111"/>
          </w:tcPr>
          <w:p>
            <w:pPr>
              <w:spacing w:before="32" w:after="32" w:line="240" w:lineRule="auto"/>
              <w:jc w:val="right"/>
            </w:pPr>
            <w:r>
              <w:rPr>
                <w:b w:val="0"/>
                <w:color w:val="0B0B0B"/>
                <w:sz w:val="14"/>
              </w:rPr>
              <w:t>project tracker in the model</w:t>
            </w:r>
          </w:p>
        </w:tc>
        <w:tc>
          <w:tcPr>
            <w:tcW w:type="dxa" w:w="5513"/>
          </w:tcPr>
          <w:p>
            <w:pPr>
              <w:spacing w:before="32" w:after="32" w:line="240" w:lineRule="auto"/>
              <w:jc w:val="right"/>
            </w:pPr>
            <w:r>
              <w:rPr>
                <w:b w:val="0"/>
                <w:color w:val="0B0B0B"/>
                <w:sz w:val="14"/>
              </w:rPr>
              <w:t>Still listed as under construction in July 2026 — over three years late.</w:t>
            </w:r>
          </w:p>
        </w:tc>
      </w:tr>
      <w:tr>
        <w:tc>
          <w:tcPr>
            <w:tcW w:type="dxa" w:w="2581"/>
            <w:shd w:val="clear" w:color="auto" w:fill="EEF3FA"/>
          </w:tcPr>
          <w:p>
            <w:pPr>
              <w:spacing w:before="32" w:after="32" w:line="240" w:lineRule="auto"/>
              <w:jc w:val="left"/>
            </w:pPr>
            <w:r>
              <w:rPr>
                <w:b w:val="0"/>
                <w:color w:val="0B0B0B"/>
                <w:sz w:val="14"/>
              </w:rPr>
              <w:t>SECI BESS-1, 500MW / 1,000MWh, LoA 15 July 2022</w:t>
            </w:r>
          </w:p>
        </w:tc>
        <w:tc>
          <w:tcPr>
            <w:tcW w:type="dxa" w:w="2111"/>
            <w:shd w:val="clear" w:color="auto" w:fill="EEF3FA"/>
          </w:tcPr>
          <w:p>
            <w:pPr>
              <w:spacing w:before="32" w:after="32" w:line="240" w:lineRule="auto"/>
              <w:jc w:val="right"/>
            </w:pPr>
            <w:r>
              <w:rPr>
                <w:b w:val="0"/>
                <w:color w:val="0B0B0B"/>
                <w:sz w:val="14"/>
              </w:rPr>
              <w:t>project tracker in the model</w:t>
            </w:r>
          </w:p>
        </w:tc>
        <w:tc>
          <w:tcPr>
            <w:tcW w:type="dxa" w:w="5513"/>
            <w:shd w:val="clear" w:color="auto" w:fill="EEF3FA"/>
          </w:tcPr>
          <w:p>
            <w:pPr>
              <w:spacing w:before="32" w:after="32" w:line="240" w:lineRule="auto"/>
              <w:jc w:val="right"/>
            </w:pPr>
            <w:r>
              <w:rPr>
                <w:b w:val="0"/>
                <w:color w:val="0B0B0B"/>
                <w:sz w:val="14"/>
              </w:rPr>
              <w:t>Not commissioned; marked under dispute. No impairment taken.</w:t>
            </w:r>
          </w:p>
        </w:tc>
      </w:tr>
      <w:tr>
        <w:tc>
          <w:tcPr>
            <w:tcW w:type="dxa" w:w="2581"/>
          </w:tcPr>
          <w:p>
            <w:pPr>
              <w:spacing w:before="32" w:after="32" w:line="240" w:lineRule="auto"/>
              <w:jc w:val="left"/>
            </w:pPr>
            <w:r>
              <w:rPr>
                <w:b w:val="0"/>
                <w:color w:val="0B0B0B"/>
                <w:sz w:val="14"/>
              </w:rPr>
              <w:t>1GW solar PV module manufacturing</w:t>
            </w:r>
          </w:p>
        </w:tc>
        <w:tc>
          <w:tcPr>
            <w:tcW w:type="dxa" w:w="2111"/>
          </w:tcPr>
          <w:p>
            <w:pPr>
              <w:spacing w:before="32" w:after="32" w:line="240" w:lineRule="auto"/>
              <w:jc w:val="right"/>
            </w:pPr>
            <w:r>
              <w:rPr>
                <w:b w:val="0"/>
                <w:color w:val="0B0B0B"/>
                <w:sz w:val="14"/>
              </w:rPr>
              <w:t>announced, capex Rs.1,600cr</w:t>
            </w:r>
          </w:p>
        </w:tc>
        <w:tc>
          <w:tcPr>
            <w:tcW w:type="dxa" w:w="5513"/>
          </w:tcPr>
          <w:p>
            <w:pPr>
              <w:spacing w:before="32" w:after="32" w:line="240" w:lineRule="auto"/>
              <w:jc w:val="right"/>
            </w:pPr>
            <w:r>
              <w:rPr>
                <w:b w:val="0"/>
                <w:color w:val="0B0B0B"/>
                <w:sz w:val="14"/>
              </w:rPr>
              <w:t>Marked 'Project on Hold' in the model's tracker. Vertical integration has instead gone into a 5GWh battery assembly plant at Pune (commissioned Q4FY26, commercial sales started) and a wind blade plant at Halol (due H1FY27) — a redirection rather than a straight miss.</w:t>
            </w:r>
          </w:p>
        </w:tc>
      </w:tr>
      <w:tr>
        <w:tc>
          <w:tcPr>
            <w:tcW w:type="dxa" w:w="2581"/>
            <w:shd w:val="clear" w:color="auto" w:fill="EEF3FA"/>
          </w:tcPr>
          <w:p>
            <w:pPr>
              <w:spacing w:before="32" w:after="32" w:line="240" w:lineRule="auto"/>
              <w:jc w:val="left"/>
            </w:pPr>
            <w:r>
              <w:rPr>
                <w:b w:val="0"/>
                <w:color w:val="0B0B0B"/>
                <w:sz w:val="14"/>
              </w:rPr>
              <w:t>Net debt/EBITDA of approximately 5.0–5.5x by 2030</w:t>
            </w:r>
          </w:p>
        </w:tc>
        <w:tc>
          <w:tcPr>
            <w:tcW w:type="dxa" w:w="2111"/>
            <w:shd w:val="clear" w:color="auto" w:fill="EEF3FA"/>
          </w:tcPr>
          <w:p>
            <w:pPr>
              <w:spacing w:before="32" w:after="32" w:line="240" w:lineRule="auto"/>
              <w:jc w:val="right"/>
            </w:pPr>
            <w:r>
              <w:rPr>
                <w:b w:val="0"/>
                <w:color w:val="0B0B0B"/>
                <w:sz w:val="14"/>
              </w:rPr>
              <w:t>Q4FY26 call, 11 May 2026</w:t>
            </w:r>
          </w:p>
        </w:tc>
        <w:tc>
          <w:tcPr>
            <w:tcW w:type="dxa" w:w="5513"/>
            <w:shd w:val="clear" w:color="auto" w:fill="EEF3FA"/>
          </w:tcPr>
          <w:p>
            <w:pPr>
              <w:spacing w:before="32" w:after="32" w:line="240" w:lineRule="auto"/>
              <w:jc w:val="right"/>
            </w:pPr>
            <w:r>
              <w:rPr>
                <w:b w:val="0"/>
                <w:color w:val="0B0B0B"/>
                <w:sz w:val="14"/>
              </w:rPr>
              <w:t>On the company's measure (excluding CWIP debt) 5.2x at FY26A, improving to 4.95x after the Q1FY27 raise — already inside the guardrail. On the model's all-in measure, 6.96x at FY26A reaching 4.90x only in FY30E.</w:t>
            </w:r>
          </w:p>
        </w:tc>
      </w:tr>
      <w:tr>
        <w:tc>
          <w:tcPr>
            <w:tcW w:type="dxa" w:w="2581"/>
          </w:tcPr>
          <w:p>
            <w:pPr>
              <w:spacing w:before="32" w:after="32" w:line="240" w:lineRule="auto"/>
              <w:jc w:val="left"/>
            </w:pPr>
            <w:r>
              <w:rPr>
                <w:b w:val="0"/>
                <w:color w:val="0B0B0B"/>
                <w:sz w:val="14"/>
              </w:rPr>
              <w:t>Rs.20,000cr of FY27 capex and about 3GW of additions</w:t>
            </w:r>
          </w:p>
        </w:tc>
        <w:tc>
          <w:tcPr>
            <w:tcW w:type="dxa" w:w="2111"/>
          </w:tcPr>
          <w:p>
            <w:pPr>
              <w:spacing w:before="32" w:after="32" w:line="240" w:lineRule="auto"/>
              <w:jc w:val="right"/>
            </w:pPr>
            <w:r>
              <w:rPr>
                <w:b w:val="0"/>
                <w:color w:val="0B0B0B"/>
                <w:sz w:val="14"/>
              </w:rPr>
              <w:t>Q4FY26 call, 11 May 2026</w:t>
            </w:r>
          </w:p>
        </w:tc>
        <w:tc>
          <w:tcPr>
            <w:tcW w:type="dxa" w:w="5513"/>
          </w:tcPr>
          <w:p>
            <w:pPr>
              <w:spacing w:before="32" w:after="32" w:line="240" w:lineRule="auto"/>
              <w:jc w:val="right"/>
            </w:pPr>
            <w:r>
              <w:rPr>
                <w:b w:val="0"/>
                <w:color w:val="0B0B0B"/>
                <w:sz w:val="14"/>
              </w:rPr>
              <w:t>Corroborated by Rs.24,184cr of contracted capital commitments in the audited accounts. 873MW added in Q1FY27, 1,081MW since April — roughly 36% of the annual target in the first quarter.</w:t>
            </w:r>
          </w:p>
        </w:tc>
      </w:tr>
      <w:tr>
        <w:tc>
          <w:tcPr>
            <w:tcW w:type="dxa" w:w="2581"/>
            <w:shd w:val="clear" w:color="auto" w:fill="EEF3FA"/>
          </w:tcPr>
          <w:p>
            <w:pPr>
              <w:spacing w:before="32" w:after="32" w:line="240" w:lineRule="auto"/>
              <w:jc w:val="left"/>
            </w:pPr>
            <w:r>
              <w:rPr>
                <w:b w:val="0"/>
                <w:color w:val="0B0B0B"/>
                <w:sz w:val="14"/>
              </w:rPr>
              <w:t>KSK Mahanadi steady-state EBITDA of Rs.2,700cr</w:t>
            </w:r>
          </w:p>
        </w:tc>
        <w:tc>
          <w:tcPr>
            <w:tcW w:type="dxa" w:w="2111"/>
            <w:shd w:val="clear" w:color="auto" w:fill="EEF3FA"/>
          </w:tcPr>
          <w:p>
            <w:pPr>
              <w:spacing w:before="32" w:after="32" w:line="240" w:lineRule="auto"/>
              <w:jc w:val="right"/>
            </w:pPr>
            <w:r>
              <w:rPr>
                <w:b w:val="0"/>
                <w:color w:val="0B0B0B"/>
                <w:sz w:val="14"/>
              </w:rPr>
              <w:t>Q4FY26 call, investor relations</w:t>
            </w:r>
          </w:p>
        </w:tc>
        <w:tc>
          <w:tcPr>
            <w:tcW w:type="dxa" w:w="5513"/>
            <w:shd w:val="clear" w:color="auto" w:fill="EEF3FA"/>
          </w:tcPr>
          <w:p>
            <w:pPr>
              <w:spacing w:before="32" w:after="32" w:line="240" w:lineRule="auto"/>
              <w:jc w:val="right"/>
            </w:pPr>
            <w:r>
              <w:rPr>
                <w:b w:val="0"/>
                <w:color w:val="0B0B0B"/>
                <w:sz w:val="14"/>
              </w:rPr>
              <w:t>FY26A delivered over Rs.3,300cr against Rs.2,650cr in the year before acquisition. Management guided analysts down, citing a UPPCL tariff step-down, partly offset by fuel logistics savings after buying the KSK rail and water SPVs.</w:t>
            </w:r>
          </w:p>
        </w:tc>
      </w:tr>
      <w:tr>
        <w:tc>
          <w:tcPr>
            <w:tcW w:type="dxa" w:w="2581"/>
          </w:tcPr>
          <w:p>
            <w:pPr>
              <w:spacing w:before="32" w:after="32" w:line="240" w:lineRule="auto"/>
              <w:jc w:val="left"/>
            </w:pPr>
            <w:r>
              <w:rPr>
                <w:b w:val="0"/>
                <w:color w:val="0B0B0B"/>
                <w:sz w:val="14"/>
              </w:rPr>
              <w:t>Mid-teen return thresholds on every investment</w:t>
            </w:r>
          </w:p>
        </w:tc>
        <w:tc>
          <w:tcPr>
            <w:tcW w:type="dxa" w:w="2111"/>
          </w:tcPr>
          <w:p>
            <w:pPr>
              <w:spacing w:before="32" w:after="32" w:line="240" w:lineRule="auto"/>
              <w:jc w:val="right"/>
            </w:pPr>
            <w:r>
              <w:rPr>
                <w:b w:val="0"/>
                <w:color w:val="0B0B0B"/>
                <w:sz w:val="14"/>
              </w:rPr>
              <w:t>Q4FY26 call, 11 May 2026</w:t>
            </w:r>
          </w:p>
        </w:tc>
        <w:tc>
          <w:tcPr>
            <w:tcW w:type="dxa" w:w="5513"/>
          </w:tcPr>
          <w:p>
            <w:pPr>
              <w:spacing w:before="32" w:after="32" w:line="240" w:lineRule="auto"/>
              <w:jc w:val="right"/>
            </w:pPr>
            <w:r>
              <w:rPr>
                <w:b w:val="0"/>
                <w:color w:val="0B0B0B"/>
                <w:sz w:val="14"/>
              </w:rPr>
              <w:t>Not yet visible at group level: consolidated ROCE was 6.4% in FY26A and the model reaches 8.8% by FY30E. Either project returns are materially above group returns because of the drag from CWIP and acquired thermal, or the threshold is aspirational. This is the single most useful thing to test as the build matures.</w:t>
            </w:r>
          </w:p>
        </w:tc>
      </w:tr>
      <w:tr>
        <w:tc>
          <w:tcPr>
            <w:tcW w:type="dxa" w:w="2581"/>
            <w:shd w:val="clear" w:color="auto" w:fill="EEF3FA"/>
          </w:tcPr>
          <w:p>
            <w:pPr>
              <w:spacing w:before="32" w:after="32" w:line="240" w:lineRule="auto"/>
              <w:jc w:val="left"/>
            </w:pPr>
            <w:r>
              <w:rPr>
                <w:b w:val="0"/>
                <w:color w:val="0B0B0B"/>
                <w:sz w:val="14"/>
              </w:rPr>
              <w:t>FY26 capacity addition</w:t>
            </w:r>
          </w:p>
        </w:tc>
        <w:tc>
          <w:tcPr>
            <w:tcW w:type="dxa" w:w="2111"/>
            <w:shd w:val="clear" w:color="auto" w:fill="EEF3FA"/>
          </w:tcPr>
          <w:p>
            <w:pPr>
              <w:spacing w:before="32" w:after="32" w:line="240" w:lineRule="auto"/>
              <w:jc w:val="right"/>
            </w:pPr>
            <w:r>
              <w:rPr>
                <w:b w:val="0"/>
                <w:color w:val="0B0B0B"/>
                <w:sz w:val="14"/>
              </w:rPr>
              <w:t>quarterly disclosure</w:t>
            </w:r>
          </w:p>
        </w:tc>
        <w:tc>
          <w:tcPr>
            <w:tcW w:type="dxa" w:w="5513"/>
            <w:shd w:val="clear" w:color="auto" w:fill="EEF3FA"/>
          </w:tcPr>
          <w:p>
            <w:pPr>
              <w:spacing w:before="32" w:after="32" w:line="240" w:lineRule="auto"/>
              <w:jc w:val="right"/>
            </w:pPr>
            <w:r>
              <w:rPr>
                <w:b w:val="0"/>
                <w:color w:val="0B0B0B"/>
                <w:sz w:val="14"/>
              </w:rPr>
              <w:t>2,579MW added in FY26A against 3,585MW in FY25A; 1,081MW added since April 2026 including 873MW in 1QFY27. Delivery on the aggregate build has been real, even where individual projects have slipped.</w:t>
            </w:r>
          </w:p>
        </w:tc>
      </w:tr>
    </w:tbl>
    <w:p>
      <w:pPr>
        <w:spacing w:before="40" w:after="120"/>
      </w:pPr>
      <w:r>
        <w:rPr>
          <w:b w:val="0"/>
          <w:i/>
          <w:color w:val="8A8880"/>
          <w:sz w:val="14"/>
        </w:rPr>
        <w:t>Source: the analyst model's own project tracker (Key sheet), company quarterly disclosure and press statements. Where a promise was made on an earnings call we have not been able to cite the specific call.</w:t>
      </w:r>
    </w:p>
    <w:p>
      <w:pPr>
        <w:spacing w:before="0" w:after="100"/>
      </w:pPr>
      <w:r>
        <w:rPr>
          <w:b w:val="0"/>
          <w:i w:val="0"/>
          <w:color w:val="0B0B0B"/>
          <w:sz w:val="17"/>
        </w:rPr>
        <w:t>Verdict on the promoter structure and who it suits. This is a promoter-controlled, group-embedded utility executing the largest capital programme in its history with a balance sheet that has tripled its debt in four years. The promoter is aligned in the way that matters most — subscribing Rs.3,000cr of equity and warrants at Rs.525 and Rs.515 rather than selling — and disclosure quality is genuinely good: the calls give CWIP splits, holdco maturity profiles, per-MW EBITDA benchmarks and a candid deferred-tax explanation, and investor relations guided analysts down on KSK rather than up. The aggregate delivery record is 'on plan in total, late on individual projects, and honest about why' — the evacuation constraint is real and externally verifiable. That is a better profile than we credited before reading the transcripts. It still suits investors with a three-to-five year horizon underwriting an asset base rather than an earnings trajectory, and who can tolerate a 30%-plus drawdown if the multiple mean-reverts. It does not suit anyone underwriting FY27E EPS.</w:t>
      </w:r>
    </w:p>
    <w:p>
      <w:pPr>
        <w:keepNext/>
        <w:spacing w:before="180" w:after="40"/>
      </w:pPr>
      <w:r>
        <w:rPr>
          <w:b/>
          <w:color w:val="1F3864"/>
          <w:sz w:val="21"/>
        </w:rPr>
        <w:t>24.  Triggers to Watch</w:t>
      </w:r>
    </w:p>
    <w:p>
      <w:pPr>
        <w:pStyle w:val="ListNumber"/>
        <w:spacing w:after="60"/>
        <w:ind w:left="340"/>
      </w:pPr>
      <w:r>
        <w:rPr>
          <w:b/>
          <w:sz w:val="17"/>
        </w:rPr>
        <w:t xml:space="preserve">Q2FY27 results, around October 2026 — the run-rate test. </w:t>
      </w:r>
      <w:r>
        <w:rPr>
          <w:sz w:val="17"/>
        </w:rPr>
        <w:t>consolidated EBITDA must run at Rs.3,360cr a quarter for the remaining nine months of FY27 to reach the Rs.12,952cr estimate, against Rs.2,873cr in 1QFY27. Two consecutive quarters below Rs.3,100cr confirms the FY27E estimate is 8–10% too high.</w:t>
      </w:r>
    </w:p>
    <w:p>
      <w:pPr>
        <w:pStyle w:val="ListNumber"/>
        <w:spacing w:after="60"/>
        <w:ind w:left="340"/>
      </w:pPr>
      <w:r>
        <w:rPr>
          <w:b/>
          <w:sz w:val="17"/>
        </w:rPr>
        <w:t xml:space="preserve">Standalone segment revenue through FY27. </w:t>
      </w:r>
      <w:r>
        <w:rPr>
          <w:sz w:val="17"/>
        </w:rPr>
        <w:t>the model assumes Rs.6,612cr in FY27E against Rs.3,030cr in FY26A and Rs.1,101cr delivered in 1QFY27. If nine-month standalone revenue is below Rs.4,000cr, roughly Rs.1,500cr of FY27E revenue does not exist. This is the least-explained line in the model.</w:t>
      </w:r>
    </w:p>
    <w:p>
      <w:pPr>
        <w:pStyle w:val="ListNumber"/>
        <w:spacing w:after="60"/>
        <w:ind w:left="340"/>
      </w:pPr>
      <w:r>
        <w:rPr>
          <w:b/>
          <w:sz w:val="17"/>
        </w:rPr>
        <w:t xml:space="preserve">KSK Mahanadi minority buyout price, by end-Q2FY27. </w:t>
      </w:r>
      <w:r>
        <w:rPr>
          <w:sz w:val="17"/>
        </w:rPr>
        <w:t>the consideration for the balance 26% of KSK Mahanadi is not yet crystallised; the CFO expected a number by the end of Q2FY27. On the SOTP's 1.5x book it is of the order of Rs.1,170cr, and it is not in the model's cash flow. A materially larger number raises FY27E net debt and cuts the target; completion also validates the collapse in minority interest that carries 18% of FY28E EPS.</w:t>
      </w:r>
    </w:p>
    <w:p>
      <w:pPr>
        <w:pStyle w:val="ListNumber"/>
        <w:spacing w:after="60"/>
        <w:ind w:left="340"/>
      </w:pPr>
      <w:r>
        <w:rPr>
          <w:b/>
          <w:sz w:val="17"/>
        </w:rPr>
        <w:t xml:space="preserve">First 600MW of KSK Mahanadi units 3–6, mid-FY27. </w:t>
      </w:r>
      <w:r>
        <w:rPr>
          <w:sz w:val="17"/>
        </w:rPr>
        <w:t>management guided the first 600MW of the KSK expansion for mid-FY27. It is not in the model's capacity or earnings at all, so it is pure upside to FY28E — roughly Rs.500–600cr of annualised EBITDA on the plant's current unit economics, or about Rs.35 per share at 11.9x.</w:t>
      </w:r>
    </w:p>
    <w:p>
      <w:pPr>
        <w:pStyle w:val="ListNumber"/>
        <w:spacing w:after="60"/>
        <w:ind w:left="340"/>
      </w:pPr>
      <w:r>
        <w:rPr>
          <w:b/>
          <w:sz w:val="17"/>
        </w:rPr>
        <w:t xml:space="preserve">Quarterly MW commissioned. </w:t>
      </w:r>
      <w:r>
        <w:rPr>
          <w:sz w:val="17"/>
        </w:rPr>
        <w:t>3,155MW is scheduled for FY27E and 873MW came in 1QFY27. A quarterly commissioning run-rate below roughly 750MW confirms slippage in the driver that is 92% of the growth story.</w:t>
      </w:r>
    </w:p>
    <w:p>
      <w:pPr>
        <w:pStyle w:val="ListNumber"/>
        <w:spacing w:after="60"/>
        <w:ind w:left="340"/>
      </w:pPr>
      <w:r>
        <w:rPr>
          <w:b/>
          <w:sz w:val="17"/>
        </w:rPr>
        <w:t xml:space="preserve">Commissioning of the new evacuation line, July 2026. </w:t>
      </w:r>
      <w:r>
        <w:rPr>
          <w:sz w:val="17"/>
        </w:rPr>
        <w:t>management expects the Rajasthan evacuation line around July 2026, which should end the curtailment that cost Rs.50cr of revenue in FY26A. If it slips, curtailment persists into a year in which 3GW is being added, and the Rs.0.75cr/MW steady-state benchmark becomes the ceiling rather than the base.</w:t>
      </w:r>
    </w:p>
    <w:p>
      <w:pPr>
        <w:pStyle w:val="ListNumber"/>
        <w:spacing w:after="60"/>
        <w:ind w:left="340"/>
      </w:pPr>
      <w:r>
        <w:rPr>
          <w:b/>
          <w:sz w:val="17"/>
        </w:rPr>
        <w:t xml:space="preserve">Final DSM regulations. </w:t>
      </w:r>
      <w:r>
        <w:rPr>
          <w:sz w:val="17"/>
        </w:rPr>
        <w:t>the CERC's revised Deviation Settlement Mechanism would cost 1.5–2% of renewable revenue on management's worst case. Watch whether the industry secures substation-level grouping, which materially reduces it.</w:t>
      </w:r>
    </w:p>
    <w:p>
      <w:pPr>
        <w:keepNext/>
        <w:spacing w:before="180" w:after="40"/>
      </w:pPr>
      <w:r>
        <w:rPr>
          <w:b/>
          <w:color w:val="1F3864"/>
          <w:sz w:val="21"/>
        </w:rPr>
        <w:t>25.  Key Risks</w:t>
      </w:r>
    </w:p>
    <w:p>
      <w:pPr>
        <w:pStyle w:val="ListNumber"/>
        <w:spacing w:after="60"/>
        <w:ind w:left="340"/>
      </w:pPr>
      <w:r>
        <w:rPr>
          <w:b/>
          <w:sz w:val="17"/>
        </w:rPr>
        <w:t xml:space="preserve">Multiple compression — the dominant risk. </w:t>
      </w:r>
      <w:r>
        <w:rPr>
          <w:sz w:val="17"/>
        </w:rPr>
        <w:t>The equity is 29% of enterprise value, so each 1.0x of EV/EBITDA is Rs.87 per share — 15.5% of the price. Reversion to the 16-year mean of 9.0x takes the stock to Rs.373, a 33% loss, with no change whatsoever in the operations. What would confirm it: the forward multiple breaking below 12x while net debt keeps rising. This is the largest single risk in the name and it is a valuation risk, not a business risk.</w:t>
      </w:r>
    </w:p>
    <w:p>
      <w:pPr>
        <w:pStyle w:val="ListNumber"/>
        <w:spacing w:after="60"/>
        <w:ind w:left="340"/>
      </w:pPr>
      <w:r>
        <w:rPr>
          <w:b/>
          <w:sz w:val="17"/>
        </w:rPr>
        <w:t xml:space="preserve">Renewable execution slippage. </w:t>
      </w:r>
      <w:r>
        <w:rPr>
          <w:sz w:val="17"/>
        </w:rPr>
        <w:t>12,151MW of renewables must be built in four years to deliver 92% of the EBITDA growth. The company's own tracker shows Kutehr 18 months late, Hetero wind three years late and SECI BESS-1 stalled in dispute. A one-year slip across the FY28–FY30 build removes roughly Rs.3,000–4,000cr of FY30E EBITDA, which at 11.9x is over Rs.200 per share of target. What would confirm it: quarterly commissioning below 750MW.</w:t>
      </w:r>
    </w:p>
    <w:p>
      <w:pPr>
        <w:pStyle w:val="ListNumber"/>
        <w:spacing w:after="60"/>
        <w:ind w:left="340"/>
      </w:pPr>
      <w:r>
        <w:rPr>
          <w:b/>
          <w:sz w:val="17"/>
        </w:rPr>
        <w:t xml:space="preserve">Funding — de-risked for FY27, unresolved for FY29–30. </w:t>
      </w:r>
      <w:r>
        <w:rPr>
          <w:sz w:val="17"/>
        </w:rPr>
        <w:t>Cumulative free cash flow after interest is negative Rs.53,993cr over FY27E–FY30E and the business does not self-fund in any forecast year. The near-term risk has, however, largely been retired: the Rs.10,150cr raise is complete, cash stands at Rs.12,881cr, Rs.24,184cr of capex is contractually committed and the CFO states the FY27 programme needs no further equity. The residual risk is FY29–FY30, where roughly Rs.46,000cr of further capex must be financed on 2.1x interest cover. What would confirm it: a negative rating action, interest cover below 1.7x, or a second QIP under the Rs.10,000cr enabling approval.</w:t>
      </w:r>
    </w:p>
    <w:p>
      <w:pPr>
        <w:pStyle w:val="ListNumber"/>
        <w:spacing w:after="60"/>
        <w:ind w:left="340"/>
      </w:pPr>
      <w:r>
        <w:rPr>
          <w:b/>
          <w:sz w:val="17"/>
        </w:rPr>
        <w:t xml:space="preserve">Evacuation and curtailment, not merchant price, is the real sector risk. </w:t>
      </w:r>
      <w:r>
        <w:rPr>
          <w:sz w:val="17"/>
        </w:rPr>
        <w:t>National demand grew 0.9% in FY26 while 50.9GW of renewables was added, and only 9,500 of a planned 15,000 circuit-km of transmission was built. Curtailment cost Rs.50cr of revenue in FY26A and management says the constraint eases only around 2029. The merchant exposure itself is smaller than we first assessed — open capacity is about 5% of the base and Ind-Barath is now largely contracted — but the sector-level evacuation shortfall directly gates the commissioning schedule that is 92% of the growth. What would confirm it: quarterly curtailment above Rs.25cr, or slippage in the July 2026 Rajasthan line.</w:t>
      </w:r>
    </w:p>
    <w:p>
      <w:pPr>
        <w:pStyle w:val="ListNumber"/>
        <w:spacing w:after="60"/>
        <w:ind w:left="340"/>
      </w:pPr>
      <w:r>
        <w:rPr>
          <w:b/>
          <w:sz w:val="17"/>
        </w:rPr>
        <w:t xml:space="preserve">Earnings quality — three items the model does not carry. </w:t>
      </w:r>
      <w:r>
        <w:rPr>
          <w:sz w:val="17"/>
        </w:rPr>
        <w:t>FY26A reported PAT of Rs.2,239cr becomes roughly Rs.969cr at a normal tax rate — the deferred-tax recognition at Utkal and KSK is explained and legitimate but not repeatable, and management guides 23–24% from here. The minority-interest collapse is now corroborated by the KSK call option, but its cost is absent from the model. And the Supreme Court's 18% Himachal free-power ruling permanently removes roughly 287 million units a year from the highest-margin asset without appearing in the forecast. What would confirm it: hydro segment EBITDA in FY27 coming in below the model's Rs.1,376cr.</w:t>
      </w:r>
    </w:p>
    <w:p>
      <w:pPr>
        <w:pStyle w:val="ListNumber"/>
        <w:spacing w:after="60"/>
        <w:ind w:left="340"/>
      </w:pPr>
      <w:r>
        <w:rPr>
          <w:b/>
          <w:sz w:val="17"/>
        </w:rPr>
        <w:t xml:space="preserve">Analytical risk — now largely closed. </w:t>
      </w:r>
      <w:r>
        <w:rPr>
          <w:sz w:val="17"/>
        </w:rPr>
        <w:t>The FY26 accounts have now been read: the auditor's opinion is unmodified, contingent exposure is about 15% of net worth and not growing, and related-party sales are 4.3% of revenue. The residual unverified items are narrow — promoter-level share pledge, which sits in the quarterly shareholding filing, and the quantum of the KSK minority consideration. This risk is much smaller than we assessed before reading the primary sources, and we downgrade it accordingly.</w:t>
      </w:r>
    </w:p>
    <w:p>
      <w:pPr>
        <w:pStyle w:val="ListNumber"/>
        <w:spacing w:after="60"/>
        <w:ind w:left="340"/>
      </w:pPr>
      <w:r>
        <w:rPr>
          <w:b/>
          <w:sz w:val="17"/>
        </w:rPr>
        <w:t xml:space="preserve">Long-dated — thermal asset stranding. </w:t>
      </w:r>
      <w:r>
        <w:rPr>
          <w:sz w:val="17"/>
        </w:rPr>
        <w:t>5,958MW of coal and lignite capacity with PPAs running into the 2040s faces tightening renewable purchase obligations, potential carbon pricing and eventual stranding pressure. On a 10-to-20 year horizon this is real; within the forecast window it is not the binding constraint, which is why it is last.</w:t>
      </w:r>
    </w:p>
    <w:p>
      <w:pPr>
        <w:spacing w:before="0" w:after="160"/>
      </w:pPr>
      <w:r>
        <w:rPr>
          <w:b/>
          <w:i w:val="0"/>
          <w:color w:val="C03A2B"/>
          <w:sz w:val="17"/>
        </w:rPr>
        <w:t xml:space="preserve">The falsification test. </w:t>
      </w:r>
      <w:r>
        <w:rPr>
          <w:b w:val="0"/>
          <w:i w:val="0"/>
          <w:color w:val="0B0B0B"/>
          <w:sz w:val="17"/>
        </w:rPr>
        <w:t>We abandon the hold and move to a sell if, at FY27 year-end, consolidated EBITDA has come in below Rs.11,500cr (the 1QFY27 run-rate, implying the build has not delivered) and net debt/EBITDA is above 6.5x (implying it has not been funded either). That combination removes both legs of the case and leaves a 4.9x-geared balance sheet with no growth to grow into it. Symmetrically, we upgrade to a buy if FY27 EBITDA exceeds Rs.13,000cr, net debt/EBITDA closes below 5.5x, and the QIP is completed at or above Rs.525 — at which point the FY29E bull case of Rs.839 becomes the base case.</w:t>
      </w:r>
    </w:p>
    <w:p>
      <w:pPr>
        <w:keepNext/>
        <w:spacing w:before="180" w:after="40"/>
      </w:pPr>
      <w:r>
        <w:rPr>
          <w:b/>
          <w:color w:val="1F3864"/>
          <w:sz w:val="21"/>
        </w:rPr>
        <w:t>26.  Final Outlook</w:t>
      </w:r>
    </w:p>
    <w:p>
      <w:pPr>
        <w:spacing w:before="0" w:after="140"/>
      </w:pPr>
      <w:r>
        <w:rPr>
          <w:b/>
          <w:i w:val="0"/>
          <w:color w:val="1F3864"/>
          <w:sz w:val="22"/>
        </w:rPr>
        <w:t>HOLD  |  Base target price Rs.625  |  Upside +11.4%  |  CMP Rs.561  |  Market cap Rs.98,584cr</w:t>
      </w:r>
    </w:p>
    <w:p>
      <w:pPr>
        <w:spacing w:before="0" w:after="100"/>
      </w:pPr>
      <w:r>
        <w:rPr>
          <w:b w:val="0"/>
          <w:i w:val="0"/>
          <w:color w:val="0B0B0B"/>
          <w:sz w:val="17"/>
        </w:rPr>
        <w:t>The transformation is real. In four years JSW Energy has gone from 6,605MW to 13,454MW, from a stagnant thermal generator to a company where renewables supply 71% of EBITDA by FY30E, on 25-to-40 year fixed-tariff PPAs with sovereign-adjacent counterparties. It holds an AA rating, discloses more than most peers, has completed a Rs.10,150cr raise, and its promoter is subscribing equity rather than selling. None of this is a bad business.</w:t>
      </w:r>
    </w:p>
    <w:p>
      <w:pPr>
        <w:spacing w:before="0" w:after="100"/>
      </w:pPr>
      <w:r>
        <w:rPr>
          <w:b w:val="0"/>
          <w:i w:val="0"/>
          <w:color w:val="0B0B0B"/>
          <w:sz w:val="17"/>
        </w:rPr>
        <w:t>The valuation anchor and what it requires. The base target of Rs.625 is 11.9x FY28E EV/EBITDA less FY27E-end net debt — the model's own construction, consistent with where Tata Power trades. It requires only that FY28E EBITDA of Rs.15,942cr is delivered and that the market keeps paying what it pays today: no re-rating, no acquisition, and no credit for Salboni, KSK units 3–6 or the residual JSW Steel stake.</w:t>
      </w:r>
    </w:p>
    <w:p>
      <w:pPr>
        <w:spacing w:before="0" w:after="100"/>
      </w:pPr>
      <w:r>
        <w:rPr>
          <w:b w:val="0"/>
          <w:i w:val="0"/>
          <w:color w:val="0B0B0B"/>
          <w:sz w:val="17"/>
        </w:rPr>
        <w:t>Why the risk-reward is not asymmetric, which is the reason for the rating. Three structural facts, none of which the primary sources change. First, net debt at FY27E-end is 4.7x FY28E EBITDA, so the equity is a 29% residual claim and every 1.0x of multiple is worth 15.5% of the share price — the downside to a mean-reverting multiple is 33% against an 11% base upside. Second, a 10% miss on FY28E EBITDA alone turns the +11% into –7%, and the 1QFY27 run-rate is currently 11% below what FY27E requires. Third, after nine years of growth capex the model's terminal ROCE of 8.8% is still below the 10% WACC it discounts at — and management's claim that every investment clears a mid-teen hurdle has not yet shown up anywhere in group returns. The model's own asset-based sum-of-the-parts values the company at Rs.510, below the market price, while the forward-multiple approach gives Rs.625 above it. The two methods bracket the current price rather than pointing the same way, which is the definition of fairly valued.</w:t>
      </w:r>
    </w:p>
    <w:p>
      <w:pPr>
        <w:spacing w:before="0" w:after="100"/>
      </w:pPr>
      <w:r>
        <w:rPr>
          <w:b w:val="0"/>
          <w:i w:val="0"/>
          <w:color w:val="0B0B0B"/>
          <w:sz w:val="17"/>
        </w:rPr>
        <w:t>What caps position sizing. Less than we thought before reading the primary sources. The audited FY26 accounts carry an unmodified Deloitte opinion, a single key audit matter on tariff disputes, contingent exposure of about 15% of net worth that is not growing, and related-party power sales of 4.3% of revenue. The Rs.10,150cr raise is complete and leverage on the company's measure is already inside its guardrail at 4.95x. What still caps it: an FY29–FY30 capex programme of roughly Rs.46,000cr yet to be financed on 2.1x interest cover; a Supreme Court ruling that permanently takes six percentage points of free power out of the highest-margin asset and is absent from the forecast; an incremental renewable EBITDA assumption running 36% above management's own per-MW benchmark; and a promoter-level pledge position we still have not seen. The correct response is a position that survives a 30% drawdown, not one that requires the bull case. We would become buyers on evidence — FY27 EBITDA above Rs.13,000cr with leverage below 5.5x — or on a price closer to Rs.480, where the downside-case multiple of 10.2x is already in the price.</w:t>
      </w:r>
    </w:p>
    <w:sectPr w:rsidR="00FC693F" w:rsidRPr="0006063C" w:rsidSect="00034616">
      <w:footerReference w:type="default" r:id="rId16"/>
      <w:pgSz w:w="11906" w:h="16838"/>
      <w:pgMar w:top="822" w:right="850" w:bottom="822"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i/>
        <w:color w:val="8A8880"/>
        <w:sz w:val="13"/>
      </w:rPr>
      <w:t>Strictly Confidential — for internal circulation only. This note is for informational purposes and does not constitute investment advice.</w:t>
    </w:r>
  </w:p>
  <w:p>
    <w:pPr>
      <w:jc w:val="center"/>
    </w:pPr>
    <w:r>
      <w:rPr>
        <w:color w:val="8A8880"/>
        <w:sz w:val="13"/>
      </w:rPr>
      <w:t xml:space="preserve">JSW Energy Limited  ·  </w:t>
    </w:r>
    <w:fldSimple w:instr="PAGE">
      <w:r>
        <w:rPr>
          <w:sz w:val="15"/>
          <w:color w:val="8A8880"/>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before="0" w:line="240" w:lineRule="auto"/>
    </w:pPr>
    <w:rPr>
      <w:rFonts w:ascii="Calibri" w:hAnsi="Calibri" w:eastAsia="Calibri"/>
      <w:color w:val="0B0B0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