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Asian Energy Services Ltd</w:t>
      </w:r>
    </w:p>
    <w:p>
      <w:pPr>
        <w:spacing w:after="60"/>
      </w:pPr>
      <w:r>
        <w:rPr>
          <w:color w:val="595959"/>
          <w:sz w:val="24"/>
          <w:szCs w:val="24"/>
        </w:rPr>
        <w:t xml:space="preserve">History read: what the numbers say before reading a single document</w:t>
      </w:r>
    </w:p>
    <w:p>
      <w:pPr>
        <w:spacing w:after="200"/>
      </w:pPr>
      <w:r>
        <w:rPr>
          <w:color w:val="595959"/>
          <w:sz w:val="18"/>
          <w:szCs w:val="18"/>
        </w:rPr>
        <w:t xml:space="preserve">NSE ASIANENE | BSE 530355 | Stage 1 of 4 | Model: ASIANENE_Model_v1.xlsx | Basis: consolidated, Rs. crore</w:t>
      </w:r>
    </w:p>
    <w:p>
      <w:pPr>
        <w:pBdr>
          <w:bottom w:val="single" w:color="999999" w:sz="6"/>
        </w:pBdr>
      </w:pPr>
    </w:p>
    <w:p>
      <w:pPr>
        <w:spacing w:after="100"/>
        <w:rPr>
          <w:color w:val="595959"/>
          <w:sz w:val="18"/>
          <w:szCs w:val="18"/>
        </w:rPr>
      </w:pPr>
      <w:r>
        <w:rPr>
          <w:color w:val="595959"/>
          <w:sz w:val="18"/>
          <w:szCs w:val="18"/>
        </w:rPr>
        <w:t xml:space="preserve">Figures are from the ACE Equity consolidated dump for FY09 to FY26 and standalone ACE for FY05 to FY08, tagged [S] secondary and verified to the audited annual reports [A] for FY16 to FY26 on revenue, PBT, PAT, total assets, operating cash flow and closing cash. All tie. Cash conversion is operating cash flow divided by PAT. ROCE ex-cash is EBITDA less depreciation over average net worth plus debt less cash.</w:t>
      </w:r>
    </w:p>
    <w:p>
      <w:pPr>
        <w:pStyle w:val="Heading1"/>
      </w:pPr>
      <w:r>
        <w:t xml:space="preserve">1. The listed history in six phases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1250"/>
        <w:gridCol w:w="1200"/>
        <w:gridCol w:w="1350"/>
        <w:gridCol w:w="1100"/>
        <w:gridCol w:w="2850"/>
      </w:tblGrid>
      <w:tr>
        <w:trPr>
          <w:tblHeader/>
        </w:trPr>
        <w:tc>
          <w:tcPr>
            <w:tcW w:type="dxa" w:w="1500"/>
            <w:shd w:fill="DCE6F1" w:color="auto" w:val="clear"/>
            <w:tcMar>
              <w:top w:type="dxa" w:w="60"/>
              <w:left w:type="dxa" w:w="80"/>
              <w:bottom w:type="dxa" w:w="60"/>
              <w:right w:type="dxa" w:w="80"/>
            </w:tcMar>
            <w:vAlign w:val="top"/>
          </w:tcPr>
          <w:p>
            <w:pPr>
              <w:spacing w:after="0"/>
              <w:jc w:val="left"/>
            </w:pPr>
            <w:r>
              <w:rPr>
                <w:b/>
                <w:bCs/>
                <w:sz w:val="17"/>
                <w:szCs w:val="17"/>
              </w:rPr>
              <w:t xml:space="preserve">Phase</w:t>
            </w:r>
          </w:p>
        </w:tc>
        <w:tc>
          <w:tcPr>
            <w:tcW w:type="dxa" w:w="1550"/>
            <w:shd w:fill="DCE6F1" w:color="auto" w:val="clear"/>
            <w:tcMar>
              <w:top w:type="dxa" w:w="60"/>
              <w:left w:type="dxa" w:w="80"/>
              <w:bottom w:type="dxa" w:w="60"/>
              <w:right w:type="dxa" w:w="80"/>
            </w:tcMar>
            <w:vAlign w:val="top"/>
          </w:tcPr>
          <w:p>
            <w:pPr>
              <w:spacing w:after="0"/>
              <w:jc w:val="left"/>
            </w:pPr>
            <w:r>
              <w:rPr>
                <w:b/>
                <w:bCs/>
                <w:sz w:val="17"/>
                <w:szCs w:val="17"/>
              </w:rPr>
              <w:t xml:space="preserve">Revenue</w:t>
            </w:r>
          </w:p>
        </w:tc>
        <w:tc>
          <w:tcPr>
            <w:tcW w:type="dxa" w:w="1250"/>
            <w:shd w:fill="DCE6F1" w:color="auto" w:val="clear"/>
            <w:tcMar>
              <w:top w:type="dxa" w:w="60"/>
              <w:left w:type="dxa" w:w="80"/>
              <w:bottom w:type="dxa" w:w="60"/>
              <w:right w:type="dxa" w:w="80"/>
            </w:tcMar>
            <w:vAlign w:val="top"/>
          </w:tcPr>
          <w:p>
            <w:pPr>
              <w:spacing w:after="0"/>
              <w:jc w:val="left"/>
            </w:pPr>
            <w:r>
              <w:rPr>
                <w:b/>
                <w:bCs/>
                <w:sz w:val="17"/>
                <w:szCs w:val="17"/>
              </w:rPr>
              <w:t xml:space="preserve">EBITDA margin</w:t>
            </w:r>
          </w:p>
        </w:tc>
        <w:tc>
          <w:tcPr>
            <w:tcW w:type="dxa" w:w="1200"/>
            <w:shd w:fill="DCE6F1" w:color="auto" w:val="clear"/>
            <w:tcMar>
              <w:top w:type="dxa" w:w="60"/>
              <w:left w:type="dxa" w:w="80"/>
              <w:bottom w:type="dxa" w:w="60"/>
              <w:right w:type="dxa" w:w="80"/>
            </w:tcMar>
            <w:vAlign w:val="top"/>
          </w:tcPr>
          <w:p>
            <w:pPr>
              <w:spacing w:after="0"/>
              <w:jc w:val="left"/>
            </w:pPr>
            <w:r>
              <w:rPr>
                <w:b/>
                <w:bCs/>
                <w:sz w:val="17"/>
                <w:szCs w:val="17"/>
              </w:rPr>
              <w:t xml:space="preserve">PAT (cum.)</w:t>
            </w:r>
          </w:p>
        </w:tc>
        <w:tc>
          <w:tcPr>
            <w:tcW w:type="dxa" w:w="1350"/>
            <w:shd w:fill="DCE6F1" w:color="auto" w:val="clear"/>
            <w:tcMar>
              <w:top w:type="dxa" w:w="60"/>
              <w:left w:type="dxa" w:w="80"/>
              <w:bottom w:type="dxa" w:w="60"/>
              <w:right w:type="dxa" w:w="80"/>
            </w:tcMar>
            <w:vAlign w:val="top"/>
          </w:tcPr>
          <w:p>
            <w:pPr>
              <w:spacing w:after="0"/>
              <w:jc w:val="left"/>
            </w:pPr>
            <w:r>
              <w:rPr>
                <w:b/>
                <w:bCs/>
                <w:sz w:val="17"/>
                <w:szCs w:val="17"/>
              </w:rPr>
              <w:t xml:space="preserve">Cash conversion (CFO/PAT)</w:t>
            </w:r>
          </w:p>
        </w:tc>
        <w:tc>
          <w:tcPr>
            <w:tcW w:type="dxa" w:w="1100"/>
            <w:shd w:fill="DCE6F1" w:color="auto" w:val="clear"/>
            <w:tcMar>
              <w:top w:type="dxa" w:w="60"/>
              <w:left w:type="dxa" w:w="80"/>
              <w:bottom w:type="dxa" w:w="60"/>
              <w:right w:type="dxa" w:w="80"/>
            </w:tcMar>
            <w:vAlign w:val="top"/>
          </w:tcPr>
          <w:p>
            <w:pPr>
              <w:spacing w:after="0"/>
              <w:jc w:val="left"/>
            </w:pPr>
            <w:r>
              <w:rPr>
                <w:b/>
                <w:bCs/>
                <w:sz w:val="17"/>
                <w:szCs w:val="17"/>
              </w:rPr>
              <w:t xml:space="preserve">ROCE ex-cash</w:t>
            </w:r>
          </w:p>
        </w:tc>
        <w:tc>
          <w:tcPr>
            <w:tcW w:type="dxa" w:w="2850"/>
            <w:shd w:fill="DCE6F1" w:color="auto" w:val="clear"/>
            <w:tcMar>
              <w:top w:type="dxa" w:w="60"/>
              <w:left w:type="dxa" w:w="80"/>
              <w:bottom w:type="dxa" w:w="60"/>
              <w:right w:type="dxa" w:w="80"/>
            </w:tcMar>
            <w:vAlign w:val="top"/>
          </w:tcPr>
          <w:p>
            <w:pPr>
              <w:spacing w:after="0"/>
              <w:jc w:val="left"/>
            </w:pPr>
            <w:r>
              <w:rPr>
                <w:b/>
                <w:bCs/>
                <w:sz w:val="17"/>
                <w:szCs w:val="17"/>
              </w:rPr>
              <w:t xml:space="preserve">What it was</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1. FY05-FY08 standalone</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Rs.8cr to Rs.46cr (FY08 = 15 months)</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12% to 33%</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+Rs.15cr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About 1x</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13-62%</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Small domestic seismic contractor. FY07-FY08 were the only clean profitable years before FY18.</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2. FY09-FY13 drift</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Rs.20-69cr, no trend</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+15% (FY09) to -13% (FY12)</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-Rs.22cr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Negative from FY11</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-2% to -22%</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Revenue fell 71% in FY10 (nine-month year) and never rebuilt. EBITDA negative FY12-FY13. Debtor days 100-270.</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3. FY14-FY16 Kurdistan and capex</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Rs.122cr, Rs.141cr, then Rs.78cr</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-2%, -4%, -32%</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-Rs.77cr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n.m. (losses)</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-19% to -40%</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Rs.108cr capex in FY14 (gross block Rs.72cr to Rs.163cr) for Iraqi Kurdistan seismic contracts. Revenue never covered it. Net worth Rs.65cr to Rs.10cr; net debt peaked at Rs.101cr in FY16, ten times equity.</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4. FY17-FY20 Oilmax rebuild</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Rs.124cr to Rs.273cr</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-15% (FY17, incl. Rs.43cr ESOP) then 18%, 17%, 24%</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+Rs.30cr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2.6-3.1x in FY18-FY20</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10-40%</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Oilmax (Kapil Garg) took control in FY17. Rs.137cr equity raised FY17-FY18, debt repaid, net cash Rs.82cr by FY20. Best operating period in the listed history.</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5. FY21-FY23 stall and collapse</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Rs.229cr, Rs.260cr, then Rs.110cr (-58%)</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24%, 25%, -17%</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+Rs.18cr (FY23 alone -Rs.44cr)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FY21 -0.3x, FY22 1.2x, FY23 n.m.</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20-23%, then -22%</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Oil and gas segment revenue fell from Rs.189cr to Rs.63cr in FY23. Debtor days reached 362. Exceptional charges in FY21 (Rs.12cr) and FY23 (Rs.6cr).</w:t>
            </w:r>
          </w:p>
        </w:tc>
      </w:tr>
      <w:tr>
        <w:trPr>
          <w:tblHeader w:val="false"/>
        </w:trPr>
        <w:tc>
          <w:tcPr>
            <w:tcW w:type="dxa" w:w="1500"/>
            <w:tcMar>
              <w:top w:type="dxa" w:w="60"/>
              <w:left w:type="dxa" w:w="80"/>
              <w:bottom w:type="dxa" w:w="60"/>
              <w:right w:type="dxa" w:w="80"/>
            </w:tcMar>
            <w:vAlign w:val="top"/>
          </w:tcPr>
          <w:p>
            <w:pPr>
              <w:spacing w:after="0"/>
              <w:jc w:val="left"/>
            </w:pPr>
            <w:r>
              <w:rPr>
                <w:b w:val="false"/>
                <w:bCs w:val="false"/>
                <w:sz w:val="17"/>
                <w:szCs w:val="17"/>
              </w:rPr>
              <w:t xml:space="preserve">6. FY24-FY26 coal CHP pivot and Kuiper</w:t>
            </w:r>
          </w:p>
        </w:tc>
        <w:tc>
          <w:tcPr>
            <w:tcW w:type="dxa" w:w="1550"/>
            <w:tcMar>
              <w:top w:type="dxa" w:w="60"/>
              <w:left w:type="dxa" w:w="80"/>
              <w:bottom w:type="dxa" w:w="60"/>
              <w:right w:type="dxa" w:w="80"/>
            </w:tcMar>
            <w:vAlign w:val="top"/>
          </w:tcPr>
          <w:p>
            <w:pPr>
              <w:spacing w:after="0"/>
              <w:jc w:val="right"/>
            </w:pPr>
            <w:r>
              <w:rPr>
                <w:b w:val="false"/>
                <w:bCs w:val="false"/>
                <w:sz w:val="17"/>
                <w:szCs w:val="17"/>
              </w:rPr>
              <w:t xml:space="preserve">Rs.305cr to Rs.465cr to Rs.791cr</w:t>
            </w:r>
          </w:p>
        </w:tc>
        <w:tc>
          <w:tcPr>
            <w:tcW w:type="dxa" w:w="1250"/>
            <w:tcMar>
              <w:top w:type="dxa" w:w="60"/>
              <w:left w:type="dxa" w:w="80"/>
              <w:bottom w:type="dxa" w:w="60"/>
              <w:right w:type="dxa" w:w="80"/>
            </w:tcMar>
            <w:vAlign w:val="top"/>
          </w:tcPr>
          <w:p>
            <w:pPr>
              <w:spacing w:after="0"/>
              <w:jc w:val="right"/>
            </w:pPr>
            <w:r>
              <w:rPr>
                <w:b w:val="false"/>
                <w:bCs w:val="false"/>
                <w:sz w:val="17"/>
                <w:szCs w:val="17"/>
              </w:rPr>
              <w:t xml:space="preserve">14%, 14%, 12%</w:t>
            </w:r>
          </w:p>
        </w:tc>
        <w:tc>
          <w:tcPr>
            <w:tcW w:type="dxa" w:w="1200"/>
            <w:tcMar>
              <w:top w:type="dxa" w:w="60"/>
              <w:left w:type="dxa" w:w="80"/>
              <w:bottom w:type="dxa" w:w="60"/>
              <w:right w:type="dxa" w:w="80"/>
            </w:tcMar>
            <w:vAlign w:val="top"/>
          </w:tcPr>
          <w:p>
            <w:pPr>
              <w:spacing w:after="0"/>
              <w:jc w:val="right"/>
            </w:pPr>
            <w:r>
              <w:rPr>
                <w:b w:val="false"/>
                <w:bCs w:val="false"/>
                <w:sz w:val="17"/>
                <w:szCs w:val="17"/>
              </w:rPr>
              <w:t xml:space="preserve">+Rs.118cr</w:t>
            </w:r>
          </w:p>
        </w:tc>
        <w:tc>
          <w:tcPr>
            <w:tcW w:type="dxa" w:w="1350"/>
            <w:tcMar>
              <w:top w:type="dxa" w:w="60"/>
              <w:left w:type="dxa" w:w="80"/>
              <w:bottom w:type="dxa" w:w="60"/>
              <w:right w:type="dxa" w:w="80"/>
            </w:tcMar>
            <w:vAlign w:val="top"/>
          </w:tcPr>
          <w:p>
            <w:pPr>
              <w:spacing w:after="0"/>
              <w:jc w:val="right"/>
            </w:pPr>
            <w:r>
              <w:rPr>
                <w:b w:val="false"/>
                <w:bCs w:val="false"/>
                <w:sz w:val="17"/>
                <w:szCs w:val="17"/>
              </w:rPr>
              <w:t xml:space="preserve">FY24 -1.7x, FY25 -0.8x, FY26 1.0x. Three-year CFO -Rs.24cr vs PAT +Rs.118cr</w:t>
            </w:r>
          </w:p>
        </w:tc>
        <w:tc>
          <w:tcPr>
            <w:tcW w:type="dxa" w:w="1100"/>
            <w:tcMar>
              <w:top w:type="dxa" w:w="60"/>
              <w:left w:type="dxa" w:w="80"/>
              <w:bottom w:type="dxa" w:w="60"/>
              <w:right w:type="dxa" w:w="80"/>
            </w:tcMar>
            <w:vAlign w:val="top"/>
          </w:tcPr>
          <w:p>
            <w:pPr>
              <w:spacing w:after="0"/>
              <w:jc w:val="right"/>
            </w:pPr>
            <w:r>
              <w:rPr>
                <w:b w:val="false"/>
                <w:bCs w:val="false"/>
                <w:sz w:val="17"/>
                <w:szCs w:val="17"/>
              </w:rPr>
              <w:t xml:space="preserve">11-18%</w:t>
            </w:r>
          </w:p>
        </w:tc>
        <w:tc>
          <w:tcPr>
            <w:tcW w:type="dxa" w:w="2850"/>
            <w:tcMar>
              <w:top w:type="dxa" w:w="60"/>
              <w:left w:type="dxa" w:w="80"/>
              <w:bottom w:type="dxa" w:w="60"/>
              <w:right w:type="dxa" w:w="80"/>
            </w:tcMar>
            <w:vAlign w:val="top"/>
          </w:tcPr>
          <w:p>
            <w:pPr>
              <w:spacing w:after="0"/>
              <w:jc w:val="left"/>
            </w:pPr>
            <w:r>
              <w:rPr>
                <w:b w:val="false"/>
                <w:bCs w:val="false"/>
                <w:sz w:val="17"/>
                <w:szCs w:val="17"/>
              </w:rPr>
              <w:t xml:space="preserve">Mineral segment (coal handling plant EPC for CIL subsidiaries and SCCL) grew from Rs.47cr to Rs.273cr by FY25. Kuiper international O&amp;M bought in Apr-2025 for Rs.123cr adds Rs.299cr in FY26. Growth funded by Rs.130cr of equity and warrants in FY24-FY25 and Rs.158cr of debt at FY26.</w:t>
            </w:r>
          </w:p>
        </w:tc>
      </w:tr>
    </w:tbl>
    <w:p>
      <w:pPr>
        <w:spacing w:after="100"/>
      </w:pPr>
      <w:r>
        <w:rPr>
          <w:sz w:val="20"/>
          <w:szCs w:val="20"/>
        </w:rPr>
        <w:t xml:space="preserve"/>
      </w:r>
    </w:p>
    <w:p>
      <w:pPr>
        <w:pStyle w:val="Heading1"/>
      </w:pPr>
      <w:r>
        <w:t xml:space="preserve">2. Years where something broke or turned</w:t>
      </w:r>
    </w:p>
    <w:p>
      <w:pPr>
        <w:pStyle w:val="ListParagraph"/>
        <w:numPr>
          <w:ilvl w:val="0"/>
          <w:numId w:val="2"/>
        </w:numPr>
        <w:spacing w:after="60"/>
      </w:pPr>
      <w:r>
        <w:rPr>
          <w:sz w:val="20"/>
          <w:szCs w:val="20"/>
        </w:rPr>
        <w:t xml:space="preserve">FY10: revenue down 71% (a nine-month year plus loss of work). Start of a four-year loss run.</w:t>
      </w:r>
    </w:p>
    <w:p>
      <w:pPr>
        <w:pStyle w:val="ListParagraph"/>
        <w:numPr>
          <w:ilvl w:val="0"/>
          <w:numId w:val="2"/>
        </w:numPr>
        <w:spacing w:after="60"/>
      </w:pPr>
      <w:r>
        <w:rPr>
          <w:sz w:val="20"/>
          <w:szCs w:val="20"/>
        </w:rPr>
        <w:t xml:space="preserve">FY12: EBITDA turns negative at -Rs.6cr and stays negative through FY17.</w:t>
      </w:r>
    </w:p>
    <w:p>
      <w:pPr>
        <w:pStyle w:val="ListParagraph"/>
        <w:numPr>
          <w:ilvl w:val="0"/>
          <w:numId w:val="2"/>
        </w:numPr>
        <w:spacing w:after="60"/>
      </w:pPr>
      <w:r>
        <w:rPr>
          <w:sz w:val="20"/>
          <w:szCs w:val="20"/>
        </w:rPr>
        <w:t xml:space="preserve">FY14: Rs.108cr capex year, 7.7 times depreciation. This is the asset base that then had to be written down, with gross block falling from Rs.173cr in FY16 to Rs.95cr in FY17.</w:t>
      </w:r>
    </w:p>
    <w:p>
      <w:pPr>
        <w:pStyle w:val="ListParagraph"/>
        <w:numPr>
          <w:ilvl w:val="0"/>
          <w:numId w:val="2"/>
        </w:numPr>
        <w:spacing w:after="60"/>
      </w:pPr>
      <w:r>
        <w:rPr>
          <w:sz w:val="20"/>
          <w:szCs w:val="20"/>
        </w:rPr>
        <w:t xml:space="preserve">FY16: net worth Rs.10cr, net debt Rs.101cr. Near insolvent.</w:t>
      </w:r>
    </w:p>
    <w:p>
      <w:pPr>
        <w:pStyle w:val="ListParagraph"/>
        <w:numPr>
          <w:ilvl w:val="0"/>
          <w:numId w:val="2"/>
        </w:numPr>
        <w:spacing w:after="60"/>
      </w:pPr>
      <w:r>
        <w:rPr>
          <w:sz w:val="20"/>
          <w:szCs w:val="20"/>
        </w:rPr>
        <w:t xml:space="preserve">FY17: control change and Ind AS adoption. Rs.89cr equity in, Rs.19cr of liabilities written back (sitting in other income of Rs.29cr), Rs.43cr ESOP charge.</w:t>
      </w:r>
    </w:p>
    <w:p>
      <w:pPr>
        <w:pStyle w:val="ListParagraph"/>
        <w:numPr>
          <w:ilvl w:val="0"/>
          <w:numId w:val="2"/>
        </w:numPr>
        <w:spacing w:after="60"/>
      </w:pPr>
      <w:r>
        <w:rPr>
          <w:sz w:val="20"/>
          <w:szCs w:val="20"/>
        </w:rPr>
        <w:t xml:space="preserve">FY20: peak margin of 24%, PAT Rs.29cr, operating cash flow Rs.89cr, net cash Rs.82cr.</w:t>
      </w:r>
    </w:p>
    <w:p>
      <w:pPr>
        <w:pStyle w:val="ListParagraph"/>
        <w:numPr>
          <w:ilvl w:val="0"/>
          <w:numId w:val="2"/>
        </w:numPr>
        <w:spacing w:after="60"/>
      </w:pPr>
      <w:r>
        <w:rPr>
          <w:sz w:val="20"/>
          <w:szCs w:val="20"/>
        </w:rPr>
        <w:t xml:space="preserve">FY23: revenue down 58%, PAT -Rs.44cr, receivables at 362 days. The single most important year to explain in Stage 2.</w:t>
      </w:r>
    </w:p>
    <w:p>
      <w:pPr>
        <w:pStyle w:val="ListParagraph"/>
        <w:numPr>
          <w:ilvl w:val="0"/>
          <w:numId w:val="2"/>
        </w:numPr>
        <w:spacing w:after="60"/>
      </w:pPr>
      <w:r>
        <w:rPr>
          <w:sz w:val="20"/>
          <w:szCs w:val="20"/>
        </w:rPr>
        <w:t xml:space="preserve">FY26: revenue up 70%, mostly inorganic. EBITDA margin down to 12%. Net cash of Rs.72cr at FY25 becomes net debt of Rs.11cr, with gross debt at Rs.158cr.</w:t>
      </w:r>
    </w:p>
    <w:p>
      <w:pPr>
        <w:pStyle w:val="Heading1"/>
      </w:pPr>
      <w:r>
        <w:t xml:space="preserve">3. Discontinuities, marked in the model and never spliced over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gridCol w:w="2800"/>
      </w:tblGrid>
      <w:tr>
        <w:trPr>
          <w:tblHeader/>
        </w:trPr>
        <w:tc>
          <w:tcPr>
            <w:tcW w:type="dxa" w:w="2000"/>
            <w:shd w:fill="DCE6F1" w:color="auto" w:val="clear"/>
            <w:tcMar>
              <w:top w:type="dxa" w:w="60"/>
              <w:left w:type="dxa" w:w="80"/>
              <w:bottom w:type="dxa" w:w="60"/>
              <w:right w:type="dxa" w:w="80"/>
            </w:tcMar>
            <w:vAlign w:val="top"/>
          </w:tcPr>
          <w:p>
            <w:pPr>
              <w:spacing w:after="0"/>
              <w:jc w:val="left"/>
            </w:pPr>
            <w:r>
              <w:rPr>
                <w:b/>
                <w:bCs/>
                <w:sz w:val="17"/>
                <w:szCs w:val="17"/>
              </w:rPr>
              <w:t xml:space="preserve">Item</w:t>
            </w:r>
          </w:p>
        </w:tc>
        <w:tc>
          <w:tcPr>
            <w:tcW w:type="dxa" w:w="6000"/>
            <w:shd w:fill="DCE6F1" w:color="auto" w:val="clear"/>
            <w:tcMar>
              <w:top w:type="dxa" w:w="60"/>
              <w:left w:type="dxa" w:w="80"/>
              <w:bottom w:type="dxa" w:w="60"/>
              <w:right w:type="dxa" w:w="80"/>
            </w:tcMar>
            <w:vAlign w:val="top"/>
          </w:tcPr>
          <w:p>
            <w:pPr>
              <w:spacing w:after="0"/>
              <w:jc w:val="left"/>
            </w:pPr>
            <w:r>
              <w:rPr>
                <w:b/>
                <w:bCs/>
                <w:sz w:val="17"/>
                <w:szCs w:val="17"/>
              </w:rPr>
              <w:t xml:space="preserve">What changed</w:t>
            </w:r>
          </w:p>
        </w:tc>
        <w:tc>
          <w:tcPr>
            <w:tcW w:type="dxa" w:w="2800"/>
            <w:shd w:fill="DCE6F1" w:color="auto" w:val="clear"/>
            <w:tcMar>
              <w:top w:type="dxa" w:w="60"/>
              <w:left w:type="dxa" w:w="80"/>
              <w:bottom w:type="dxa" w:w="60"/>
              <w:right w:type="dxa" w:w="80"/>
            </w:tcMar>
            <w:vAlign w:val="top"/>
          </w:tcPr>
          <w:p>
            <w:pPr>
              <w:spacing w:after="0"/>
              <w:jc w:val="left"/>
            </w:pPr>
            <w:r>
              <w:rPr>
                <w:b/>
                <w:bCs/>
                <w:sz w:val="17"/>
                <w:szCs w:val="17"/>
              </w:rPr>
              <w:t xml:space="preserve">Where it is marked</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FY05-FY08 basis</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Standalone ACE only; consolidated series starts FY09. Subsidiaries held most operations, so these years are not comparable.</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Orange columns, basis row, 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FY08, FY09, FY10 periods</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FY08 is 15 months to Jun-2008; FY09 is 12 months to Jun-2009; FY10 is 9 months to Mar-2010.</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Basis row (months), 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FY16 to FY17</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Indian GAAP to Ind AS. Gross block Rs.173cr to Rs.95cr (deemed cost and impairment).</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FY17 control change</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Oilmax Energy acquired control via preferential issue. Rs.43cr ESOP charge; Rs.19cr liabilities written back into other income.</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 cell comments</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FY19 cash flow</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FY20 AR restated FY19 OCF from Rs.34.8cr to Rs.26.9cr and closing cash from Rs.2.97cr to Rs.0.97cr. ACE carries the FY19 AR version.</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FY21 cash flow</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FY22 AR restated FY21 OCF from -Rs.17.5cr to -Rs.6.8cr. Which version ACE carries is not yet verified.</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 open question</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FY23 reclassification</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FY24 AR moved Rs.0.08cr between employee and other expenses; totals unchanged.</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FY26 Kuiper</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Consolidated from acquisition date. Rs.299cr of revenue outside India; Rs.123cr paid, Rs.72cr cash acquired; Rs.97cr term debt drawn.</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Added cash-flow rows, Notes sheet</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Post-FY26 share count</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36.6 lakh shares issued May-2026 on warrant conversion (Rs.92cr). Diluted count 4.86cr, not in FY26 figures.</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Valuations sheet note</w:t>
            </w:r>
          </w:p>
        </w:tc>
      </w:tr>
      <w:tr>
        <w:trPr>
          <w:tblHeader w:val="false"/>
        </w:trPr>
        <w:tc>
          <w:tcPr>
            <w:tcW w:type="dxa" w:w="2000"/>
            <w:tcMar>
              <w:top w:type="dxa" w:w="60"/>
              <w:left w:type="dxa" w:w="80"/>
              <w:bottom w:type="dxa" w:w="60"/>
              <w:right w:type="dxa" w:w="80"/>
            </w:tcMar>
            <w:vAlign w:val="top"/>
          </w:tcPr>
          <w:p>
            <w:pPr>
              <w:spacing w:after="0"/>
              <w:jc w:val="left"/>
            </w:pPr>
            <w:r>
              <w:rPr>
                <w:b w:val="false"/>
                <w:bCs w:val="false"/>
                <w:sz w:val="17"/>
                <w:szCs w:val="17"/>
              </w:rPr>
              <w:t xml:space="preserve">Oilmax merger</w:t>
            </w:r>
          </w:p>
        </w:tc>
        <w:tc>
          <w:tcPr>
            <w:tcW w:type="dxa" w:w="6000"/>
            <w:tcMar>
              <w:top w:type="dxa" w:w="60"/>
              <w:left w:type="dxa" w:w="80"/>
              <w:bottom w:type="dxa" w:w="60"/>
              <w:right w:type="dxa" w:w="80"/>
            </w:tcMar>
            <w:vAlign w:val="top"/>
          </w:tcPr>
          <w:p>
            <w:pPr>
              <w:spacing w:after="0"/>
              <w:jc w:val="right"/>
            </w:pPr>
            <w:r>
              <w:rPr>
                <w:b w:val="false"/>
                <w:bCs w:val="false"/>
                <w:sz w:val="17"/>
                <w:szCs w:val="17"/>
              </w:rPr>
              <w:t xml:space="preserve">NCLT final order 29-Sep-2026. Changes share count, segment mix (adds E&amp;P) and related-party profile from FY27.</w:t>
            </w:r>
          </w:p>
        </w:tc>
        <w:tc>
          <w:tcPr>
            <w:tcW w:type="dxa" w:w="2800"/>
            <w:tcMar>
              <w:top w:type="dxa" w:w="60"/>
              <w:left w:type="dxa" w:w="80"/>
              <w:bottom w:type="dxa" w:w="60"/>
              <w:right w:type="dxa" w:w="80"/>
            </w:tcMar>
            <w:vAlign w:val="top"/>
          </w:tcPr>
          <w:p>
            <w:pPr>
              <w:spacing w:after="0"/>
              <w:jc w:val="left"/>
            </w:pPr>
            <w:r>
              <w:rPr>
                <w:b w:val="false"/>
                <w:bCs w:val="false"/>
                <w:sz w:val="17"/>
                <w:szCs w:val="17"/>
              </w:rPr>
              <w:t xml:space="preserve">Notes sheet</w:t>
            </w:r>
          </w:p>
        </w:tc>
      </w:tr>
    </w:tbl>
    <w:p>
      <w:pPr>
        <w:spacing w:after="100"/>
      </w:pPr>
      <w:r>
        <w:rPr>
          <w:sz w:val="20"/>
          <w:szCs w:val="20"/>
        </w:rPr>
        <w:t xml:space="preserve"/>
      </w:r>
    </w:p>
    <w:p>
      <w:pPr>
        <w:pStyle w:val="Heading1"/>
      </w:pPr>
      <w:r>
        <w:t xml:space="preserve">4. What the numbers say</w:t>
      </w:r>
    </w:p>
    <w:p>
      <w:pPr>
        <w:pStyle w:val="ListParagraph"/>
        <w:numPr>
          <w:ilvl w:val="0"/>
          <w:numId w:val="3"/>
        </w:numPr>
        <w:spacing w:after="60"/>
      </w:pPr>
      <w:r>
        <w:rPr>
          <w:sz w:val="20"/>
          <w:szCs w:val="20"/>
        </w:rPr>
        <w:t xml:space="preserve">The company has made Rs.67cr of cumulative profit since FY09 and consumed roughly Rs.300cr of fresh equity and Rs.440cr of capex to do it. Cumulative free cash flow to the firm since FY09 is negative. So far it is a capital consumer, not a compounder.</w:t>
      </w:r>
    </w:p>
    <w:p>
      <w:pPr>
        <w:pStyle w:val="ListParagraph"/>
        <w:numPr>
          <w:ilvl w:val="0"/>
          <w:numId w:val="3"/>
        </w:numPr>
        <w:spacing w:after="60"/>
      </w:pPr>
      <w:r>
        <w:rPr>
          <w:sz w:val="20"/>
          <w:szCs w:val="20"/>
        </w:rPr>
        <w:t xml:space="preserve">Only one period, FY18 to FY20, delivered profit, cash and returns together. The current growth phase has profit and returns but no cash: three-year operating cash flow is negative while PAT is Rs.118cr, and receivables plus unbilled revenue stand at 209 days of sales.</w:t>
      </w:r>
    </w:p>
    <w:p>
      <w:pPr>
        <w:pStyle w:val="ListParagraph"/>
        <w:numPr>
          <w:ilvl w:val="0"/>
          <w:numId w:val="3"/>
        </w:numPr>
        <w:spacing w:after="60"/>
      </w:pPr>
      <w:r>
        <w:rPr>
          <w:sz w:val="20"/>
          <w:szCs w:val="20"/>
        </w:rPr>
        <w:t xml:space="preserve">Gross margin is meaningless in this layout because ACE books no raw material for a services company. The cost structure is project expenses at 77% of revenue in FY26 (Rs.608cr), employees at 5% and administration at 5%. Operating leverage sits in the project line, not in fixed costs.</w:t>
      </w:r>
    </w:p>
    <w:p>
      <w:pPr>
        <w:pStyle w:val="ListParagraph"/>
        <w:numPr>
          <w:ilvl w:val="0"/>
          <w:numId w:val="3"/>
        </w:numPr>
        <w:spacing w:after="60"/>
      </w:pPr>
      <w:r>
        <w:rPr>
          <w:sz w:val="20"/>
          <w:szCs w:val="20"/>
        </w:rPr>
        <w:t xml:space="preserve">FY26 is a different company from FY25. 38% of revenue is now outside India through Kuiper, oil and gas is back to 80% of revenue, and gross debt went from Rs.24cr to Rs.158cr.</w:t>
      </w:r>
    </w:p>
    <w:p>
      <w:pPr>
        <w:pStyle w:val="ListParagraph"/>
        <w:numPr>
          <w:ilvl w:val="0"/>
          <w:numId w:val="3"/>
        </w:numPr>
        <w:spacing w:after="60"/>
      </w:pPr>
      <w:r>
        <w:rPr>
          <w:sz w:val="20"/>
          <w:szCs w:val="20"/>
        </w:rPr>
        <w:t xml:space="preserve">1QFY27 (consolidated, press release of 13-Aug-2026): revenue Rs.271cr, up 135%; EBITDA Rs.21.9cr, an 8.1% margin against 12% for FY26; PAT Rs.12.8cr; order book Rs.1,754cr. Margin dilution from Kuiper is visible already.</w:t>
      </w:r>
    </w:p>
    <w:p>
      <w:pPr>
        <w:pStyle w:val="Heading1"/>
      </w:pPr>
      <w:r>
        <w:t xml:space="preserve">5. Questions only the filings can answer (carried to Stage 2)</w:t>
      </w:r>
    </w:p>
    <w:p>
      <w:pPr>
        <w:pStyle w:val="ListParagraph"/>
        <w:numPr>
          <w:ilvl w:val="0"/>
          <w:numId w:val="3"/>
        </w:numPr>
        <w:spacing w:after="60"/>
      </w:pPr>
      <w:r>
        <w:rPr>
          <w:sz w:val="20"/>
          <w:szCs w:val="20"/>
        </w:rPr>
        <w:t xml:space="preserve">FY23: which contracts ended, and why did oil and gas revenue fall from Rs.189cr to Rs.63cr? What was customer concentration at the time?</w:t>
      </w:r>
    </w:p>
    <w:p>
      <w:pPr>
        <w:pStyle w:val="ListParagraph"/>
        <w:numPr>
          <w:ilvl w:val="0"/>
          <w:numId w:val="3"/>
        </w:numPr>
        <w:spacing w:after="60"/>
      </w:pPr>
      <w:r>
        <w:rPr>
          <w:sz w:val="20"/>
          <w:szCs w:val="20"/>
        </w:rPr>
        <w:t xml:space="preserve">Receivables: who owes the Rs.348cr of debtors and Rs.210cr of unbilled revenue at FY26, what is the ageing, and what does the Rs.22cr provision cover? Is the coal-CHP business structurally slow-paying because the customers are CIL subsidiaries?</w:t>
      </w:r>
    </w:p>
    <w:p>
      <w:pPr>
        <w:pStyle w:val="ListParagraph"/>
        <w:numPr>
          <w:ilvl w:val="0"/>
          <w:numId w:val="3"/>
        </w:numPr>
        <w:spacing w:after="60"/>
      </w:pPr>
      <w:r>
        <w:rPr>
          <w:sz w:val="20"/>
          <w:szCs w:val="20"/>
        </w:rPr>
        <w:t xml:space="preserve">Kuiper: what was bought for Rs.123cr (contracts, tenure, margin, PAT contribution), why did it carry Rs.72cr of cash, and how was it financed given the Rs.97cr of term debt drawn in FY26?</w:t>
      </w:r>
    </w:p>
    <w:p>
      <w:pPr>
        <w:pStyle w:val="ListParagraph"/>
        <w:numPr>
          <w:ilvl w:val="0"/>
          <w:numId w:val="3"/>
        </w:numPr>
        <w:spacing w:after="60"/>
      </w:pPr>
      <w:r>
        <w:rPr>
          <w:sz w:val="20"/>
          <w:szCs w:val="20"/>
        </w:rPr>
        <w:t xml:space="preserve">The FY26 cost line "Other Mfg Exp" is Rs.257cr against Rs.3.6cr in FY25. Is this Kuiper manpower cost, and what is Kuiper's standalone EBITDA margin?</w:t>
      </w:r>
    </w:p>
    <w:p>
      <w:pPr>
        <w:pStyle w:val="ListParagraph"/>
        <w:numPr>
          <w:ilvl w:val="0"/>
          <w:numId w:val="3"/>
        </w:numPr>
        <w:spacing w:after="60"/>
      </w:pPr>
      <w:r>
        <w:rPr>
          <w:sz w:val="20"/>
          <w:szCs w:val="20"/>
        </w:rPr>
        <w:t xml:space="preserve">Exceptional items: FY21 Rs.12cr, FY23 Rs.6cr, FY24 Rs.20cr charge and Rs.19cr credit, FY26 Rs.9.4cr. What are they, and are any recurring in substance?</w:t>
      </w:r>
    </w:p>
    <w:p>
      <w:pPr>
        <w:pStyle w:val="ListParagraph"/>
        <w:numPr>
          <w:ilvl w:val="0"/>
          <w:numId w:val="3"/>
        </w:numPr>
        <w:spacing w:after="60"/>
      </w:pPr>
      <w:r>
        <w:rPr>
          <w:sz w:val="20"/>
          <w:szCs w:val="20"/>
        </w:rPr>
        <w:t xml:space="preserve">FY14 capex of Rs.108cr: what was bought, what happened to it, and how much was impaired in FY16 and FY17?</w:t>
      </w:r>
    </w:p>
    <w:p>
      <w:pPr>
        <w:pStyle w:val="ListParagraph"/>
        <w:numPr>
          <w:ilvl w:val="0"/>
          <w:numId w:val="3"/>
        </w:numPr>
        <w:spacing w:after="60"/>
      </w:pPr>
      <w:r>
        <w:rPr>
          <w:sz w:val="20"/>
          <w:szCs w:val="20"/>
        </w:rPr>
        <w:t xml:space="preserve">ESOP charges of Rs.43cr in FY17, Rs.29cr in FY18, Rs.30cr in FY21 and Rs.9cr in FY26: granted to whom, and what is the total dilution?</w:t>
      </w:r>
    </w:p>
    <w:p>
      <w:pPr>
        <w:pStyle w:val="ListParagraph"/>
        <w:numPr>
          <w:ilvl w:val="0"/>
          <w:numId w:val="3"/>
        </w:numPr>
        <w:spacing w:after="60"/>
      </w:pPr>
      <w:r>
        <w:rPr>
          <w:sz w:val="20"/>
          <w:szCs w:val="20"/>
        </w:rPr>
        <w:t xml:space="preserve">Oilmax merger: swap ratio, the E&amp;P assets coming in, the related-party history with Oilmax (JV, Indrora field, allotments), and the impact on minority shareholders.</w:t>
      </w:r>
    </w:p>
    <w:p>
      <w:pPr>
        <w:pStyle w:val="ListParagraph"/>
        <w:numPr>
          <w:ilvl w:val="0"/>
          <w:numId w:val="3"/>
        </w:numPr>
        <w:spacing w:after="60"/>
      </w:pPr>
      <w:r>
        <w:rPr>
          <w:sz w:val="20"/>
          <w:szCs w:val="20"/>
        </w:rPr>
        <w:t xml:space="preserve">Order book of Rs.1,754cr: split by segment, execution timeline, and how much of it is Kuiper.</w:t>
      </w:r>
    </w:p>
    <w:p>
      <w:pPr>
        <w:pStyle w:val="ListParagraph"/>
        <w:numPr>
          <w:ilvl w:val="0"/>
          <w:numId w:val="3"/>
        </w:numPr>
        <w:spacing w:after="60"/>
      </w:pPr>
      <w:r>
        <w:rPr>
          <w:sz w:val="20"/>
          <w:szCs w:val="20"/>
        </w:rPr>
        <w:t xml:space="preserve">Why did the company pay its first dividend in FY25 while raising equity and warrants in the same two years?</w:t>
      </w:r>
    </w:p>
    <w:p>
      <w:pPr>
        <w:pStyle w:val="Heading1"/>
      </w:pPr>
      <w:r>
        <w:t xml:space="preserve">6. Status</w:t>
      </w:r>
    </w:p>
    <w:p>
      <w:pPr>
        <w:spacing w:after="100"/>
      </w:pPr>
      <w:r>
        <w:rPr>
          <w:sz w:val="20"/>
          <w:szCs w:val="20"/>
        </w:rPr>
        <w:t xml:space="preserve">Stage 1 complete. Model, this note and status.md are in research/ASIANENE on branch claude/exciting-cannon-d417cu. Stage 2 (research and discussion) starts on your instruction. Bloomberg CMP, peer set and consensus are needed from you before Stage 3.</w:t>
      </w:r>
    </w:p>
    <w:sectPr>
      <w:headerReference w:type="default" r:id="rId7"/>
      <w:footerReference w:type="default" r:id="rId8"/>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Internal research working note. Sources: ACE Equity consolidated dump (18-Oct-2026), annual reports FY16-FY26.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Asian Energy Services (ASIANENE) | Stage 1: history read | 18-Oct-2026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26"/>
      <w:szCs w:val="26"/>
    </w:rPr>
  </w:style>
  <w:style w:type="paragraph" w:styleId="Heading2">
    <w:name w:val="Heading 2"/>
    <w:basedOn w:val="Normal"/>
    <w:next w:val="Normal"/>
    <w:qFormat/>
    <w:pPr>
      <w:spacing w:after="80" w:before="200"/>
      <w:outlineLvl w:val="1"/>
    </w:pPr>
    <w:rPr>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2026-10-18T12:11:59.587Z</dcterms:created>
  <dcterms:modified xsi:type="dcterms:W3CDTF">2026-10-18T12:11:59.595Z</dcterms:modified>
</cp:coreProperties>
</file>

<file path=docProps/custom.xml><?xml version="1.0" encoding="utf-8"?>
<Properties xmlns="http://schemas.openxmlformats.org/officeDocument/2006/custom-properties" xmlns:vt="http://schemas.openxmlformats.org/officeDocument/2006/docPropsVTypes"/>
</file>