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36"/>
          <w:szCs w:val="36"/>
        </w:rPr>
        <w:t xml:space="preserve">MV Electrosystems Limited - One Customer, One Product, One Ramp</w:t>
      </w:r>
    </w:p>
    <w:p>
      <w:pPr>
        <w:spacing w:after="80" w:before="0"/>
      </w:pPr>
      <w:r>
        <w:rPr>
          <w:rFonts w:ascii="Arial" w:cs="Arial" w:eastAsia="Arial" w:hAnsi="Arial"/>
          <w:b/>
          <w:bCs/>
          <w:sz w:val="18"/>
          <w:szCs w:val="18"/>
        </w:rPr>
        <w:t xml:space="preserve">NSE: MVELECTRO  |  CMP: Rs.788  |  Market Cap: Rs.2,150cr  |  Rating: not assigned (v2)  |  Target Price: v2  |  Upside: v2  |  Analyst: Dheeraj Kripalani</w:t>
      </w:r>
    </w:p>
    <w:p>
      <w:pPr>
        <w:spacing w:after="80" w:before="0"/>
      </w:pPr>
      <w:r>
        <w:rPr>
          <w:rFonts w:ascii="Arial" w:cs="Arial" w:eastAsia="Arial" w:hAnsi="Arial"/>
          <w:sz w:val="16"/>
          <w:szCs w:val="16"/>
        </w:rPr>
        <w:t xml:space="preserve">October 2026  |  Version 1 (history and preliminary view; estimates and valuation follow in v2)  |  CMP is the NSE close of 23-Oct-2026, to be replaced by the Bloomberg price and date</w:t>
      </w:r>
    </w:p>
    <w:p>
      <w:pPr>
        <w:keepNext/>
        <w:spacing w:after="80" w:before="200"/>
      </w:pPr>
      <w:r>
        <w:rPr>
          <w:rFonts w:ascii="Arial" w:cs="Arial" w:eastAsia="Arial" w:hAnsi="Arial"/>
          <w:b/>
          <w:bCs/>
          <w:sz w:val="22"/>
          <w:szCs w:val="22"/>
        </w:rPr>
        <w:t xml:space="preserve">Company Overview</w:t>
      </w:r>
    </w:p>
    <w:p>
      <w:pPr>
        <w:pStyle w:val="ListParagraph"/>
        <w:numPr>
          <w:ilvl w:val="0"/>
          <w:numId w:val="2"/>
        </w:numPr>
        <w:spacing w:after="60"/>
      </w:pPr>
      <w:r>
        <w:rPr>
          <w:rFonts w:ascii="Arial" w:cs="Arial" w:eastAsia="Arial" w:hAnsi="Arial"/>
          <w:sz w:val="18"/>
          <w:szCs w:val="18"/>
        </w:rPr>
        <w:t xml:space="preserve">MV Electrosystems (NSE: MVELECTRO) is a Faridabad maker of railway electrical hardware that has spent seven years and most of its cash building an indigenous IGBT three-phase propulsion system for 6,000 HP electric locomotives. The legacy business, cable conduits, harnesses and coach switchgear panels, sold Rs.45cr in FY26 (90% of revenue), 67% of it to Indian Railways, and has shrunk from Rs.84cr in FY20. It has never been more than marginally profitable.</w:t>
      </w:r>
    </w:p>
    <w:p>
      <w:pPr>
        <w:pStyle w:val="ListParagraph"/>
        <w:numPr>
          <w:ilvl w:val="0"/>
          <w:numId w:val="2"/>
        </w:numPr>
        <w:spacing w:after="60"/>
      </w:pPr>
      <w:r>
        <w:rPr>
          <w:rFonts w:ascii="Arial" w:cs="Arial" w:eastAsia="Arial" w:hAnsi="Arial"/>
          <w:sz w:val="18"/>
          <w:szCs w:val="18"/>
        </w:rPr>
        <w:t xml:space="preserve">Chittaranjan Locomotive Works cleared the propulsion prototype on 15 September 2025 after a 50,000 km trial. Within four months the company won 450 sets at Rs.1.64cr each, 27% of the 1,659 sets that CLW, BLW and PLW tendered in FY26, taking the executable order book to 564 sets worth Rs.922cr plus Rs.68cr of maintenance contracts. Only three sets had been built by March 2026.</w:t>
      </w:r>
    </w:p>
    <w:p>
      <w:pPr>
        <w:pStyle w:val="ListParagraph"/>
        <w:numPr>
          <w:ilvl w:val="0"/>
          <w:numId w:val="2"/>
        </w:numPr>
        <w:spacing w:after="60"/>
      </w:pPr>
      <w:r>
        <w:rPr>
          <w:rFonts w:ascii="Arial" w:cs="Arial" w:eastAsia="Arial" w:hAnsi="Arial"/>
          <w:sz w:val="18"/>
          <w:szCs w:val="18"/>
        </w:rPr>
        <w:t xml:space="preserve">The Rs.290cr IPO (6 August 2026, Rs.425 a share, subscribed 188 times) exists to fund the inventory for that order book: Rs.180cr of the proceeds is working capital. Before it, the company had Rs.0.2cr of cash, Rs.49.9cr of debt and Rs.67cr of inventory on Rs.49cr of sales. Promoters hold 57.7%; Madhuri Kela bought 5.6% at Rs.273.5 a share ten months before listing.</w:t>
      </w:r>
    </w:p>
    <w:p>
      <w:pPr>
        <w:pStyle w:val="ListParagraph"/>
        <w:numPr>
          <w:ilvl w:val="0"/>
          <w:numId w:val="2"/>
        </w:numPr>
        <w:spacing w:after="60"/>
      </w:pPr>
      <w:r>
        <w:rPr>
          <w:rFonts w:ascii="Arial" w:cs="Arial" w:eastAsia="Arial" w:hAnsi="Arial"/>
          <w:sz w:val="18"/>
          <w:szCs w:val="18"/>
        </w:rPr>
        <w:t xml:space="preserve">Management guides to 10 sets dispatched in September 2026, 25 in November, 40 a month from January 2027, Rs.400cr of FY27 revenue and a PAT margin above 10% at run-rate. At Rs.788 the market pays Rs.2,150cr for that ramp, 26 times the profit the guidance itself implies, on a book that covers 14 months of it.</w:t>
      </w:r>
    </w:p>
    <w:p>
      <w:pPr>
        <w:keepNext/>
        <w:spacing w:after="80" w:before="200"/>
      </w:pPr>
      <w:r>
        <w:rPr>
          <w:rFonts w:ascii="Arial" w:cs="Arial" w:eastAsia="Arial" w:hAnsi="Arial"/>
          <w:b/>
          <w:bCs/>
          <w:sz w:val="22"/>
          <w:szCs w:val="22"/>
        </w:rPr>
        <w:t xml:space="preserve">Revenue &amp; EBITDA Margin - Business Cycles</w:t>
      </w:r>
    </w:p>
    <w:p>
      <w:pPr>
        <w:spacing w:after="80" w:before="0"/>
      </w:pPr>
      <w:r>
        <w:rPr>
          <w:rFonts w:ascii="Arial" w:cs="Arial" w:eastAsia="Arial" w:hAnsi="Arial"/>
          <w:sz w:val="18"/>
          <w:szCs w:val="18"/>
        </w:rPr>
        <w:t xml:space="preserve">The listed history is three months old, so the cycles below are the private-company history read from the audited statements. There are two completed cycles and a third that has not yet appeared in a single quarter of numbers.</w:t>
      </w:r>
    </w:p>
    <w:p>
      <w:pPr>
        <w:spacing w:after="40"/>
      </w:pPr>
      <w:r>
        <w:drawing>
          <wp:inline distT="0" distB="0" distL="0" distR="0">
            <wp:extent cx="6581775"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581775" cy="2466975"/>
                    </a:xfrm>
                    <a:prstGeom prst="rect">
                      <a:avLst/>
                    </a:prstGeom>
                  </pic:spPr>
                </pic:pic>
              </a:graphicData>
            </a:graphic>
          </wp:inline>
        </w:drawing>
      </w:r>
    </w:p>
    <w:p>
      <w:pPr>
        <w:spacing w:after="80" w:before="0"/>
      </w:pPr>
      <w:r>
        <w:rPr>
          <w:rFonts w:ascii="Arial" w:cs="Arial" w:eastAsia="Arial" w:hAnsi="Arial"/>
          <w:b/>
          <w:bCs/>
          <w:sz w:val="18"/>
          <w:szCs w:val="18"/>
        </w:rPr>
        <w:t xml:space="preserve">Cycle 1 - FY20-FY22: Legacy hardware at its peak and decline. </w:t>
      </w:r>
      <w:r>
        <w:rPr>
          <w:rFonts w:ascii="Arial" w:cs="Arial" w:eastAsia="Arial" w:hAnsi="Arial"/>
          <w:sz w:val="18"/>
          <w:szCs w:val="18"/>
        </w:rPr>
        <w:t xml:space="preserve">Revenue of Rs.84cr in FY20 fell to Rs.57-58cr as the cable-protection and panel lines lost volume; EBITDA margins of 7-8% and PAT of Rs.0.2-3.1cr. FY20 is the only year in the seven for which the company earned a return on equity above 10%. Receivables ran at 112 days of sales in FY20, trade payables at 71 days: a component supplier to Indian Railways living on its working-capital line.</w:t>
      </w:r>
    </w:p>
    <w:p>
      <w:pPr>
        <w:spacing w:after="80" w:before="0"/>
      </w:pPr>
      <w:r>
        <w:rPr>
          <w:rFonts w:ascii="Arial" w:cs="Arial" w:eastAsia="Arial" w:hAnsi="Arial"/>
          <w:b/>
          <w:bCs/>
          <w:sz w:val="18"/>
          <w:szCs w:val="18"/>
        </w:rPr>
        <w:t xml:space="preserve">Cycle 2 - FY23-FY26: The propulsion bet, funded by everyone but the business. </w:t>
      </w:r>
      <w:r>
        <w:rPr>
          <w:rFonts w:ascii="Arial" w:cs="Arial" w:eastAsia="Arial" w:hAnsi="Arial"/>
          <w:sz w:val="18"/>
          <w:szCs w:val="18"/>
        </w:rPr>
        <w:t xml:space="preserve">Revenue oscillated between Rs.49cr and Rs.68cr with no trend; EBITDA margins of 9-12% in FY23-FY25 turned into a 21% loss in FY26 as the propulsion team was hired ahead of production (employee cost up 44% to Rs.13.8cr), R&amp;D of Rs.7.9cr was expensed, and gross margin fell from 40% to 29%. Cash from operations over the four years was Rs.(54)cr against cumulative PAT of Rs.(9.5)cr; the gap is Rs.54cr of inventory and Rs.18cr of advances to suppliers built in FY26 for sets not yet delivered. It was financed by Rs.3cr of CCPS (2023), Rs.60cr of pre-IPO placements (2025), Rs.26cr of promoter loans drawn and repaid within FY26, and a cash-credit line enlarged from Rs.4.6cr to Rs.18cr.</w:t>
      </w:r>
    </w:p>
    <w:p>
      <w:pPr>
        <w:spacing w:after="80" w:before="0"/>
      </w:pPr>
      <w:r>
        <w:rPr>
          <w:rFonts w:ascii="Arial" w:cs="Arial" w:eastAsia="Arial" w:hAnsi="Arial"/>
          <w:b/>
          <w:bCs/>
          <w:sz w:val="18"/>
          <w:szCs w:val="18"/>
        </w:rPr>
        <w:t xml:space="preserve">Cycle 3 - FY27 onwards: Commercial ramp, not yet in the numbers. </w:t>
      </w:r>
      <w:r>
        <w:rPr>
          <w:rFonts w:ascii="Arial" w:cs="Arial" w:eastAsia="Arial" w:hAnsi="Arial"/>
          <w:sz w:val="18"/>
          <w:szCs w:val="18"/>
        </w:rPr>
        <w:t xml:space="preserve">1QFY27 (quarter to June 2026) is the first quarter of the ramp and shows none of it: revenue Rs.12.8cr (down 5% on 1QFY26), gross margin 8.8%, EBITDA Rs.(5.4)cr, PAT Rs.(6.9)cr. Management attributes the gross margin to consuming R&amp;D-phase inventory bought at high prices and says bulk purchasing for 200-300 sets has started. The cycle will be visible from 2QFY27 results (due by 14 November 2026); the thesis is decided by dispatch counts between November 2026 and March 2027.</w:t>
      </w:r>
    </w:p>
    <w:p>
      <w:pPr>
        <w:keepNext/>
        <w:spacing w:after="80" w:before="200"/>
      </w:pPr>
      <w:r>
        <w:rPr>
          <w:rFonts w:ascii="Arial" w:cs="Arial" w:eastAsia="Arial" w:hAnsi="Arial"/>
          <w:b/>
          <w:bCs/>
          <w:sz w:val="22"/>
          <w:szCs w:val="22"/>
        </w:rPr>
        <w:t xml:space="preserve">Business Lines and How Each Earns</w:t>
      </w:r>
    </w:p>
    <w:p>
      <w:pPr>
        <w:spacing w:after="80" w:before="0"/>
      </w:pPr>
      <w:r>
        <w:rPr>
          <w:rFonts w:ascii="Arial" w:cs="Arial" w:eastAsia="Arial" w:hAnsi="Arial"/>
          <w:sz w:val="18"/>
          <w:szCs w:val="18"/>
        </w:rPr>
        <w:t xml:space="preserve">The company reports one Ind AS 108 segment. The split below is the revenue disaggregation note in the FY26 annual report; the estimate columns are built in v2 from sets delivered times realisation for propulsion and capacity times utilisation for the legacy lines.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176"/>
        <w:gridCol w:w="1044"/>
        <w:gridCol w:w="1044"/>
        <w:gridCol w:w="1044"/>
        <w:gridCol w:w="1044"/>
        <w:gridCol w:w="1044"/>
        <w:gridCol w:w="1044"/>
      </w:tblGrid>
      <w:tr>
        <w:trPr>
          <w:tblHeader/>
        </w:trPr>
        <w:tc>
          <w:tcPr>
            <w:tcW w:type="dxa" w:w="4176"/>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left"/>
            </w:pPr>
            <w:r>
              <w:rPr>
                <w:rFonts w:ascii="Arial" w:cs="Arial" w:eastAsia="Arial" w:hAnsi="Arial"/>
                <w:b/>
                <w:bCs/>
                <w:sz w:val="16"/>
                <w:szCs w:val="16"/>
              </w:rPr>
              <w:t xml:space="preserve">Rs. crore</w:t>
            </w:r>
          </w:p>
        </w:tc>
        <w:tc>
          <w:tcPr>
            <w:tcW w:type="dxa" w:w="1044"/>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right"/>
            </w:pPr>
            <w:r>
              <w:rPr>
                <w:rFonts w:ascii="Arial" w:cs="Arial" w:eastAsia="Arial" w:hAnsi="Arial"/>
                <w:b/>
                <w:bCs/>
                <w:sz w:val="16"/>
                <w:szCs w:val="16"/>
              </w:rPr>
              <w:t xml:space="preserve">FY25A</w:t>
            </w:r>
          </w:p>
        </w:tc>
        <w:tc>
          <w:tcPr>
            <w:tcW w:type="dxa" w:w="1044"/>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right"/>
            </w:pPr>
            <w:r>
              <w:rPr>
                <w:rFonts w:ascii="Arial" w:cs="Arial" w:eastAsia="Arial" w:hAnsi="Arial"/>
                <w:b/>
                <w:bCs/>
                <w:sz w:val="16"/>
                <w:szCs w:val="16"/>
              </w:rPr>
              <w:t xml:space="preserve">FY26A</w:t>
            </w:r>
          </w:p>
        </w:tc>
        <w:tc>
          <w:tcPr>
            <w:tcW w:type="dxa" w:w="1044"/>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right"/>
            </w:pPr>
            <w:r>
              <w:rPr>
                <w:rFonts w:ascii="Arial" w:cs="Arial" w:eastAsia="Arial" w:hAnsi="Arial"/>
                <w:b/>
                <w:bCs/>
                <w:sz w:val="16"/>
                <w:szCs w:val="16"/>
              </w:rPr>
              <w:t xml:space="preserve">FY27E</w:t>
            </w:r>
          </w:p>
        </w:tc>
        <w:tc>
          <w:tcPr>
            <w:tcW w:type="dxa" w:w="1044"/>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right"/>
            </w:pPr>
            <w:r>
              <w:rPr>
                <w:rFonts w:ascii="Arial" w:cs="Arial" w:eastAsia="Arial" w:hAnsi="Arial"/>
                <w:b/>
                <w:bCs/>
                <w:sz w:val="16"/>
                <w:szCs w:val="16"/>
              </w:rPr>
              <w:t xml:space="preserve">FY28E</w:t>
            </w:r>
          </w:p>
        </w:tc>
        <w:tc>
          <w:tcPr>
            <w:tcW w:type="dxa" w:w="1044"/>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right"/>
            </w:pPr>
            <w:r>
              <w:rPr>
                <w:rFonts w:ascii="Arial" w:cs="Arial" w:eastAsia="Arial" w:hAnsi="Arial"/>
                <w:b/>
                <w:bCs/>
                <w:sz w:val="16"/>
                <w:szCs w:val="16"/>
              </w:rPr>
              <w:t xml:space="preserve">FY29E</w:t>
            </w:r>
          </w:p>
        </w:tc>
        <w:tc>
          <w:tcPr>
            <w:tcW w:type="dxa" w:w="1044"/>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right"/>
            </w:pPr>
            <w:r>
              <w:rPr>
                <w:rFonts w:ascii="Arial" w:cs="Arial" w:eastAsia="Arial" w:hAnsi="Arial"/>
                <w:b/>
                <w:bCs/>
                <w:sz w:val="16"/>
                <w:szCs w:val="16"/>
              </w:rPr>
              <w:t xml:space="preserve">FY30E</w:t>
            </w:r>
          </w:p>
        </w:tc>
      </w:tr>
      <w:tr>
        <w:trPr>
          <w:tblHeader w:val="false"/>
        </w:trPr>
        <w:tc>
          <w:tcPr>
            <w:tcW w:type="dxa" w:w="417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Cable protection, interconnect, switchgear &amp; panels</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62.6</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44.7</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v2</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v2</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v2</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v2</w:t>
            </w:r>
          </w:p>
        </w:tc>
      </w:tr>
      <w:tr>
        <w:trPr>
          <w:tblHeader w:val="false"/>
        </w:trPr>
        <w:tc>
          <w:tcPr>
            <w:tcW w:type="dxa" w:w="417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  of which Indian Railways</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45.7</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33.2</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r>
      <w:tr>
        <w:trPr>
          <w:tblHeader w:val="false"/>
        </w:trPr>
        <w:tc>
          <w:tcPr>
            <w:tcW w:type="dxa" w:w="417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  of which private sector</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16.5</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7.9</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r>
      <w:tr>
        <w:trPr>
          <w:tblHeader w:val="false"/>
        </w:trPr>
        <w:tc>
          <w:tcPr>
            <w:tcW w:type="dxa" w:w="417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  of which group companies</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0.5</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3.6</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r>
      <w:tr>
        <w:trPr>
          <w:tblHeader w:val="false"/>
        </w:trPr>
        <w:tc>
          <w:tcPr>
            <w:tcW w:type="dxa" w:w="417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Rolling stock electrics &amp; propulsion (Indian Railways)</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4.7</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v2</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v2</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v2</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v2</w:t>
            </w:r>
          </w:p>
        </w:tc>
      </w:tr>
      <w:tr>
        <w:trPr>
          <w:tblHeader w:val="false"/>
        </w:trPr>
        <w:tc>
          <w:tcPr>
            <w:tcW w:type="dxa" w:w="417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bCs/>
                <w:sz w:val="16"/>
                <w:szCs w:val="16"/>
              </w:rPr>
              <w:t xml:space="preserve">Total revenue from operations</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62.6</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49.4</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v2</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v2</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v2</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v2</w:t>
            </w:r>
          </w:p>
        </w:tc>
      </w:tr>
      <w:tr>
        <w:trPr>
          <w:tblHeader w:val="false"/>
        </w:trPr>
        <w:tc>
          <w:tcPr>
            <w:tcW w:type="dxa" w:w="417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Propulsion share</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0%</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10%</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r>
    </w:tbl>
    <w:p>
      <w:pPr>
        <w:spacing w:after="120"/>
      </w:pPr>
      <w:r>
        <w:rPr>
          <w:rFonts w:ascii="Arial" w:cs="Arial" w:eastAsia="Arial" w:hAnsi="Arial"/>
          <w:i/>
          <w:iCs/>
          <w:color w:val="555555"/>
          <w:sz w:val="16"/>
          <w:szCs w:val="16"/>
        </w:rPr>
        <w:t xml:space="preserve">Source: FY26 annual report, note 39 (revenue disaggregation). Estimates in v2.</w:t>
      </w:r>
    </w:p>
    <w:p>
      <w:pPr>
        <w:keepNext/>
        <w:spacing w:after="60" w:before="120"/>
      </w:pPr>
      <w:r>
        <w:rPr>
          <w:rFonts w:ascii="Arial" w:cs="Arial" w:eastAsia="Arial" w:hAnsi="Arial"/>
          <w:b/>
          <w:bCs/>
          <w:sz w:val="18"/>
          <w:szCs w:val="18"/>
        </w:rPr>
        <w:t xml:space="preserve">1. Propulsion systems (10% of FY26 revenue; 93% of the order book)</w:t>
      </w:r>
    </w:p>
    <w:p>
      <w:pPr>
        <w:pStyle w:val="ListParagraph"/>
        <w:numPr>
          <w:ilvl w:val="0"/>
          <w:numId w:val="2"/>
        </w:numPr>
        <w:spacing w:after="60"/>
      </w:pPr>
      <w:r>
        <w:rPr>
          <w:rFonts w:ascii="Arial" w:cs="Arial" w:eastAsia="Arial" w:hAnsi="Arial"/>
          <w:sz w:val="18"/>
          <w:szCs w:val="18"/>
        </w:rPr>
        <w:t xml:space="preserve">What is sold: one set per locomotive, comprising two 2.7 MW traction converters, three 130 kVA auxiliary converters, two vehicle control units and two driver consoles, built to RDSO specification for WAP-7 class 6,000 HP locomotives. Purchase-order basic rate Rs.1.64cr (CLW, BLW) to Rs.1.65cr (PLW) per set excluding GST, plus a three-year AMC after warranty worth Rs.0.12cr per set. The customer is Indian Railways through its three locomotive works; the tender is price-ranked (L1) with quantities split among qualified bidders - seven bidders received orders in the FY26 round, per management.</w:t>
      </w:r>
    </w:p>
    <w:p>
      <w:pPr>
        <w:pStyle w:val="ListParagraph"/>
        <w:numPr>
          <w:ilvl w:val="0"/>
          <w:numId w:val="2"/>
        </w:numPr>
        <w:spacing w:after="60"/>
      </w:pPr>
      <w:r>
        <w:rPr>
          <w:rFonts w:ascii="Arial" w:cs="Arial" w:eastAsia="Arial" w:hAnsi="Arial"/>
          <w:sz w:val="18"/>
          <w:szCs w:val="18"/>
        </w:rPr>
        <w:t xml:space="preserve">Who bears what: fixed-price orders (management said on the call that there is no price-variation protection on the propulsion POs; the annual report says most Indian Railways orders carry price-variation clauses, so this needs confirming for the propulsion POs specifically); liquidated damages at 0.5% per week of delay under IRS conditions; performance bank guarantees. Management claims payment within 15 days of dispatch on the three deliveries so far and an 85-day cash cycle against 105 days assumed in the prospectus; the prospectus working-capital model and FY26 balance sheet say otherwise, with inventory at 498 days of sales.</w:t>
      </w:r>
    </w:p>
    <w:p>
      <w:pPr>
        <w:pStyle w:val="ListParagraph"/>
        <w:numPr>
          <w:ilvl w:val="0"/>
          <w:numId w:val="2"/>
        </w:numPr>
        <w:spacing w:after="60"/>
      </w:pPr>
      <w:r>
        <w:rPr>
          <w:rFonts w:ascii="Arial" w:cs="Arial" w:eastAsia="Arial" w:hAnsi="Arial"/>
          <w:sz w:val="18"/>
          <w:szCs w:val="18"/>
        </w:rPr>
        <w:t xml:space="preserve">Capacity: Unit 1 (Baghola) certified for 114 sets a year on a single shift; Unit 2 (Nangla Bhiku) received consent to operate in June 2026 and is certified for 171; management says 55 a month is possible on two shifts. The 40 sets a month guided from January 2027 equals 480 a year, above the 285 single-shift figure, so the plan assumes two shifts from the start. Testing infrastructure, not assembly, is the bottleneck named in the prospectus: one test set-up installed, a second partly received, two more ordered for December 2026.</w:t>
      </w:r>
    </w:p>
    <w:p>
      <w:pPr>
        <w:pStyle w:val="ListParagraph"/>
        <w:numPr>
          <w:ilvl w:val="0"/>
          <w:numId w:val="2"/>
        </w:numPr>
        <w:spacing w:after="60"/>
      </w:pPr>
      <w:r>
        <w:rPr>
          <w:rFonts w:ascii="Arial" w:cs="Arial" w:eastAsia="Arial" w:hAnsi="Arial"/>
          <w:sz w:val="18"/>
          <w:szCs w:val="18"/>
        </w:rPr>
        <w:t xml:space="preserve">Developmental orders extend the platform: six MEMU 12-car rake propulsion sets from MCF Raebareli (Rs.86.5cr, 24-month delivery, RDSO approval still required; management expects 15-16 months to approval), one composite-converter set and one hotel-load converter from CLW. These are the entry tickets to the EMU and Vande Bharat market, not revenue before FY28.</w:t>
      </w:r>
    </w:p>
    <w:p>
      <w:pPr>
        <w:keepNext/>
        <w:spacing w:after="60" w:before="120"/>
      </w:pPr>
      <w:r>
        <w:rPr>
          <w:rFonts w:ascii="Arial" w:cs="Arial" w:eastAsia="Arial" w:hAnsi="Arial"/>
          <w:b/>
          <w:bCs/>
          <w:sz w:val="18"/>
          <w:szCs w:val="18"/>
        </w:rPr>
        <w:t xml:space="preserve">2. Cable protection, interconnect, switchgear and panels (90% of FY26 revenue)</w:t>
      </w:r>
    </w:p>
    <w:p>
      <w:pPr>
        <w:pStyle w:val="ListParagraph"/>
        <w:numPr>
          <w:ilvl w:val="0"/>
          <w:numId w:val="2"/>
        </w:numPr>
        <w:spacing w:after="60"/>
      </w:pPr>
      <w:r>
        <w:rPr>
          <w:rFonts w:ascii="Arial" w:cs="Arial" w:eastAsia="Arial" w:hAnsi="Arial"/>
          <w:sz w:val="18"/>
          <w:szCs w:val="18"/>
        </w:rPr>
        <w:t xml:space="preserve">Flexible conduits, fittings, expandable cable jackets, cable harnesses, and switchboard cabinet panels for coaches and EMUs, sold to Indian Railways coach factories and to private rolling-stock vendors. Capacity utilisation collapsed in FY26 - conduit tubing to 46% from 85%, fittings to 51% from 93% - while panels stayed at 100%, and private-sector sales halved to Rs.7.9cr. The company says the fall was deliberate reallocation of Unit 1 floor space to propulsion; the line is being shifted to Unit 2. Revenue from group companies rose to Rs.3.6cr (7% of sales), mostly conduit fittings and copper wire sold to Quadrant Future Tek, a listed company with common promoters.</w:t>
      </w:r>
    </w:p>
    <w:p>
      <w:pPr>
        <w:keepNext/>
        <w:spacing w:after="80" w:before="200"/>
      </w:pPr>
      <w:r>
        <w:rPr>
          <w:rFonts w:ascii="Arial" w:cs="Arial" w:eastAsia="Arial" w:hAnsi="Arial"/>
          <w:b/>
          <w:bCs/>
          <w:sz w:val="22"/>
          <w:szCs w:val="22"/>
        </w:rPr>
        <w:t xml:space="preserve">Industry and Competition</w:t>
      </w:r>
    </w:p>
    <w:p>
      <w:pPr>
        <w:spacing w:after="80" w:before="0"/>
      </w:pPr>
      <w:r>
        <w:rPr>
          <w:rFonts w:ascii="Arial" w:cs="Arial" w:eastAsia="Arial" w:hAnsi="Arial"/>
          <w:sz w:val="18"/>
          <w:szCs w:val="18"/>
        </w:rPr>
        <w:t xml:space="preserve">This section is a frame in v1; the customers' spending series (locomotive production programme, EMU procurement, RDSO vendor approvals) and the competitor set are built in Stage 2.</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550"/>
        <w:gridCol w:w="1566"/>
        <w:gridCol w:w="1357"/>
        <w:gridCol w:w="1253"/>
        <w:gridCol w:w="1148"/>
        <w:gridCol w:w="1566"/>
      </w:tblGrid>
      <w:tr>
        <w:trPr>
          <w:tblHeader/>
        </w:trPr>
        <w:tc>
          <w:tcPr>
            <w:tcW w:type="dxa" w:w="3550"/>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left"/>
            </w:pPr>
            <w:r>
              <w:rPr>
                <w:rFonts w:ascii="Arial" w:cs="Arial" w:eastAsia="Arial" w:hAnsi="Arial"/>
                <w:b/>
                <w:bCs/>
                <w:sz w:val="16"/>
                <w:szCs w:val="16"/>
              </w:rPr>
              <w:t xml:space="preserve">FY26 propulsion tenders (sets)</w:t>
            </w:r>
          </w:p>
        </w:tc>
        <w:tc>
          <w:tcPr>
            <w:tcW w:type="dxa" w:w="1566"/>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right"/>
            </w:pPr>
            <w:r>
              <w:rPr>
                <w:rFonts w:ascii="Arial" w:cs="Arial" w:eastAsia="Arial" w:hAnsi="Arial"/>
                <w:b/>
                <w:bCs/>
                <w:sz w:val="16"/>
                <w:szCs w:val="16"/>
              </w:rPr>
              <w:t xml:space="preserve">Locomotive programme</w:t>
            </w:r>
          </w:p>
        </w:tc>
        <w:tc>
          <w:tcPr>
            <w:tcW w:type="dxa" w:w="1357"/>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right"/>
            </w:pPr>
            <w:r>
              <w:rPr>
                <w:rFonts w:ascii="Arial" w:cs="Arial" w:eastAsia="Arial" w:hAnsi="Arial"/>
                <w:b/>
                <w:bCs/>
                <w:sz w:val="16"/>
                <w:szCs w:val="16"/>
              </w:rPr>
              <w:t xml:space="preserve">Sets tendered</w:t>
            </w:r>
          </w:p>
        </w:tc>
        <w:tc>
          <w:tcPr>
            <w:tcW w:type="dxa" w:w="1253"/>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right"/>
            </w:pPr>
            <w:r>
              <w:rPr>
                <w:rFonts w:ascii="Arial" w:cs="Arial" w:eastAsia="Arial" w:hAnsi="Arial"/>
                <w:b/>
                <w:bCs/>
                <w:sz w:val="16"/>
                <w:szCs w:val="16"/>
              </w:rPr>
              <w:t xml:space="preserve">Won by MV</w:t>
            </w:r>
          </w:p>
        </w:tc>
        <w:tc>
          <w:tcPr>
            <w:tcW w:type="dxa" w:w="1148"/>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right"/>
            </w:pPr>
            <w:r>
              <w:rPr>
                <w:rFonts w:ascii="Arial" w:cs="Arial" w:eastAsia="Arial" w:hAnsi="Arial"/>
                <w:b/>
                <w:bCs/>
                <w:sz w:val="16"/>
                <w:szCs w:val="16"/>
              </w:rPr>
              <w:t xml:space="preserve">Share</w:t>
            </w:r>
          </w:p>
        </w:tc>
        <w:tc>
          <w:tcPr>
            <w:tcW w:type="dxa" w:w="1566"/>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right"/>
            </w:pPr>
            <w:r>
              <w:rPr>
                <w:rFonts w:ascii="Arial" w:cs="Arial" w:eastAsia="Arial" w:hAnsi="Arial"/>
                <w:b/>
                <w:bCs/>
                <w:sz w:val="16"/>
                <w:szCs w:val="16"/>
              </w:rPr>
              <w:t xml:space="preserve">PO value (Rs. cr)</w:t>
            </w:r>
          </w:p>
        </w:tc>
      </w:tr>
      <w:tr>
        <w:trPr>
          <w:tblHeader w:val="false"/>
        </w:trPr>
        <w:tc>
          <w:tcPr>
            <w:tcW w:type="dxa" w:w="35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Chittaranjan Locomotive Works (CLW)</w:t>
            </w:r>
          </w:p>
        </w:tc>
        <w:tc>
          <w:tcPr>
            <w:tcW w:type="dxa" w:w="15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775</w:t>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742</w:t>
            </w:r>
          </w:p>
        </w:tc>
        <w:tc>
          <w:tcPr>
            <w:tcW w:type="dxa" w:w="125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200</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27.0%</w:t>
            </w:r>
          </w:p>
        </w:tc>
        <w:tc>
          <w:tcPr>
            <w:tcW w:type="dxa" w:w="15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328.0</w:t>
            </w:r>
          </w:p>
        </w:tc>
      </w:tr>
      <w:tr>
        <w:trPr>
          <w:tblHeader w:val="false"/>
        </w:trPr>
        <w:tc>
          <w:tcPr>
            <w:tcW w:type="dxa" w:w="35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Banaras Locomotive Works (BLW)</w:t>
            </w:r>
          </w:p>
        </w:tc>
        <w:tc>
          <w:tcPr>
            <w:tcW w:type="dxa" w:w="15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600</w:t>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572</w:t>
            </w:r>
          </w:p>
        </w:tc>
        <w:tc>
          <w:tcPr>
            <w:tcW w:type="dxa" w:w="125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174</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30.4%</w:t>
            </w:r>
          </w:p>
        </w:tc>
        <w:tc>
          <w:tcPr>
            <w:tcW w:type="dxa" w:w="15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285.4</w:t>
            </w:r>
          </w:p>
        </w:tc>
      </w:tr>
      <w:tr>
        <w:trPr>
          <w:tblHeader w:val="false"/>
        </w:trPr>
        <w:tc>
          <w:tcPr>
            <w:tcW w:type="dxa" w:w="35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Patiala Locomotive Works (PLW)</w:t>
            </w:r>
          </w:p>
        </w:tc>
        <w:tc>
          <w:tcPr>
            <w:tcW w:type="dxa" w:w="15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325</w:t>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354</w:t>
            </w:r>
          </w:p>
        </w:tc>
        <w:tc>
          <w:tcPr>
            <w:tcW w:type="dxa" w:w="125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76</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21.5%</w:t>
            </w:r>
          </w:p>
        </w:tc>
        <w:tc>
          <w:tcPr>
            <w:tcW w:type="dxa" w:w="15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125.4</w:t>
            </w:r>
          </w:p>
        </w:tc>
      </w:tr>
      <w:tr>
        <w:trPr>
          <w:tblHeader w:val="false"/>
        </w:trPr>
        <w:tc>
          <w:tcPr>
            <w:tcW w:type="dxa" w:w="35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bCs/>
                <w:sz w:val="16"/>
                <w:szCs w:val="16"/>
              </w:rPr>
              <w:t xml:space="preserve">Total</w:t>
            </w:r>
          </w:p>
        </w:tc>
        <w:tc>
          <w:tcPr>
            <w:tcW w:type="dxa" w:w="15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1,700</w:t>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1,659</w:t>
            </w:r>
          </w:p>
        </w:tc>
        <w:tc>
          <w:tcPr>
            <w:tcW w:type="dxa" w:w="125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450</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27.1%</w:t>
            </w:r>
          </w:p>
        </w:tc>
        <w:tc>
          <w:tcPr>
            <w:tcW w:type="dxa" w:w="156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738.8</w:t>
            </w:r>
          </w:p>
        </w:tc>
      </w:tr>
    </w:tbl>
    <w:p>
      <w:pPr>
        <w:spacing w:after="120"/>
      </w:pPr>
      <w:r>
        <w:rPr>
          <w:rFonts w:ascii="Arial" w:cs="Arial" w:eastAsia="Arial" w:hAnsi="Arial"/>
          <w:i/>
          <w:iCs/>
          <w:color w:val="555555"/>
          <w:sz w:val="16"/>
          <w:szCs w:val="16"/>
        </w:rPr>
        <w:t xml:space="preserve">Source: Prospectus dated 3 August 2026, page 126.</w:t>
      </w:r>
    </w:p>
    <w:p>
      <w:pPr>
        <w:spacing w:after="80" w:before="0"/>
      </w:pPr>
      <w:r>
        <w:rPr>
          <w:rFonts w:ascii="Arial" w:cs="Arial" w:eastAsia="Arial" w:hAnsi="Arial"/>
          <w:sz w:val="18"/>
          <w:szCs w:val="18"/>
        </w:rPr>
        <w:t xml:space="preserve">Indian Railways built about 1,667 locomotives last year per management and tenders propulsion for the following year's programme annually, which makes the market roughly 1,600-1,700 sets a year, or Rs.2,700cr at current rates, for the locomotive platform alone. Suppliers named in the prospectus are Medha Servo Drives (unlisted, the incumbent indigenous supplier), CG Power, Siemens, Alstom and BHEL; Hind Rectifiers is developing an in-house system and awaits approval. The prospectus could not find a listed peer. The investor-side third-party estimate puts the Indian railway propulsion equipment market at USD 937 million in CY25 growing 6% a year to CY30, which is slower than the company's own order intake implies and should be treated as a floor on the addressable market rather than a forecast of MV's revenue.</w:t>
      </w:r>
    </w:p>
    <w:p>
      <w:pPr>
        <w:keepNext/>
        <w:spacing w:after="80" w:before="200"/>
      </w:pPr>
      <w:r>
        <w:rPr>
          <w:rFonts w:ascii="Arial" w:cs="Arial" w:eastAsia="Arial" w:hAnsi="Arial"/>
          <w:b/>
          <w:bCs/>
          <w:sz w:val="22"/>
          <w:szCs w:val="22"/>
        </w:rPr>
        <w:t xml:space="preserve">Business Model, Value Chain and Moat</w:t>
      </w:r>
    </w:p>
    <w:p>
      <w:pPr>
        <w:spacing w:after="80" w:before="0"/>
      </w:pPr>
      <w:r>
        <w:rPr>
          <w:rFonts w:ascii="Arial" w:cs="Arial" w:eastAsia="Arial" w:hAnsi="Arial"/>
          <w:sz w:val="18"/>
          <w:szCs w:val="18"/>
        </w:rPr>
        <w:t xml:space="preserve">The company designs and assembles; it buys IGBT modules, gate drivers, capacitors, heat sinks and power cables, largely imported, and populates its own control boards on an SMT line installed in FY26. Design IP is in-house and recognised by DSIR (June 2026); R&amp;D runs at about Rs.9cr a year and is expensed, not capitalised. The moat claimed is the RDSO/CLW approval, which took from the October 2020 facility approval to the September 2025 clearance to obtain; replicating it from scratch takes five years and a prototype on trial for 50,000 km. Its weakest layer is price: the approval admits the company to a price-ranked tender in which seven suppliers were awarded quantity in FY26, and the incumbent has a decade of volume behind its cost base. The second weakest is the supply chain, which has delivered three sets. The value chain, the bought-in versus in-house split with amounts, and the years-to-replicate table are completed in Stage 2.</w:t>
      </w:r>
    </w:p>
    <w:p>
      <w:pPr>
        <w:keepNext/>
        <w:spacing w:after="80" w:before="200"/>
      </w:pPr>
      <w:r>
        <w:rPr>
          <w:rFonts w:ascii="Arial" w:cs="Arial" w:eastAsia="Arial" w:hAnsi="Arial"/>
          <w:b/>
          <w:bCs/>
          <w:sz w:val="22"/>
          <w:szCs w:val="22"/>
        </w:rPr>
        <w:t xml:space="preserve">Preliminary View</w:t>
      </w:r>
    </w:p>
    <w:p>
      <w:pPr>
        <w:spacing w:after="80" w:before="0"/>
      </w:pPr>
      <w:r>
        <w:rPr>
          <w:rFonts w:ascii="Arial" w:cs="Arial" w:eastAsia="Arial" w:hAnsi="Arial"/>
          <w:b/>
          <w:bCs/>
          <w:sz w:val="18"/>
          <w:szCs w:val="18"/>
        </w:rPr>
        <w:t xml:space="preserve">Variant perception. </w:t>
      </w:r>
      <w:r>
        <w:rPr>
          <w:rFonts w:ascii="Arial" w:cs="Arial" w:eastAsia="Arial" w:hAnsi="Arial"/>
          <w:sz w:val="18"/>
          <w:szCs w:val="18"/>
        </w:rPr>
        <w:t xml:space="preserve">The market is pricing MV as an approved propulsion supplier with a Rs.1,000cr book and a 10% margin; the evidence so far shows a Rs.49cr component maker that has never generated free cash, has built three sets, and has a gross margin of 9%. Whether the price is right depends on four months of dispatch data that nobody has yet.</w:t>
      </w:r>
    </w:p>
    <w:p>
      <w:pPr>
        <w:spacing w:after="80" w:before="0"/>
      </w:pPr>
      <w:r>
        <w:rPr>
          <w:rFonts w:ascii="Arial" w:cs="Arial" w:eastAsia="Arial" w:hAnsi="Arial"/>
          <w:b/>
          <w:bCs/>
          <w:sz w:val="18"/>
          <w:szCs w:val="18"/>
        </w:rPr>
        <w:t xml:space="preserve">1. What am I buying? </w:t>
      </w:r>
      <w:r>
        <w:rPr>
          <w:rFonts w:ascii="Arial" w:cs="Arial" w:eastAsia="Arial" w:hAnsi="Arial"/>
          <w:sz w:val="18"/>
          <w:szCs w:val="18"/>
        </w:rPr>
        <w:t xml:space="preserve">A Rs.45cr-a-year railway cable and panel business that is flat to declining, attached to a propulsion start-up with an order book of 564 locomotive sets (Rs.922cr) from a single customer, Indian Railways, won at 27% share in its first eligible tender round. Revenue per set is Rs.1.64cr; the company must dispatch, get accepted and be paid by three railway production units; Rs.290cr of fresh equity funds the inventory. Nothing here needs a word like "platform" to be understood: it is sets times Rs.1.64cr, less a bill of materials that is mostly imported semiconductors.</w:t>
      </w:r>
    </w:p>
    <w:p>
      <w:pPr>
        <w:spacing w:after="80" w:before="0"/>
      </w:pPr>
      <w:r>
        <w:rPr>
          <w:rFonts w:ascii="Arial" w:cs="Arial" w:eastAsia="Arial" w:hAnsi="Arial"/>
          <w:b/>
          <w:bCs/>
          <w:sz w:val="18"/>
          <w:szCs w:val="18"/>
        </w:rPr>
        <w:t xml:space="preserve">2. Has it ever made money for owners? </w:t>
      </w:r>
      <w:r>
        <w:rPr>
          <w:rFonts w:ascii="Arial" w:cs="Arial" w:eastAsia="Arial" w:hAnsi="Arial"/>
          <w:sz w:val="18"/>
          <w:szCs w:val="18"/>
        </w:rPr>
        <w:t xml:space="preserve">No. Cumulative PAT over FY20-FY26 is Rs.(5.6)cr; cumulative free cash flow over FY23-FY26 is Rs.(89)cr; cash from operations exceeded profit only in FY23 and FY25 and was Rs.(57.6)cr in FY26. Equity raised in cash is Rs.3cr (2023), Rs.60cr (2025) and Rs.290cr (2026); the economic share count has risen 87% since FY20 (1.46cr to 2.73cr shares on today's face value) and the book value per share paid by successive investors was Rs.8.9, Rs.273.5 and Rs.425. Return on equity peaked at 10% (FY23) and was (31)% in FY26. The identified reason this changes is the order book; the kill criterion (free cash negative with share count more than doubled and no reason) is not formally met, but the record is that owners have so far paid for the business rather than been paid by it.</w:t>
      </w:r>
    </w:p>
    <w:p>
      <w:pPr>
        <w:spacing w:after="80" w:before="0"/>
      </w:pPr>
      <w:r>
        <w:rPr>
          <w:rFonts w:ascii="Arial" w:cs="Arial" w:eastAsia="Arial" w:hAnsi="Arial"/>
          <w:b/>
          <w:bCs/>
          <w:sz w:val="18"/>
          <w:szCs w:val="18"/>
        </w:rPr>
        <w:t xml:space="preserve">3. What is the market paying for, and is it in the price? </w:t>
      </w:r>
      <w:r>
        <w:rPr>
          <w:rFonts w:ascii="Arial" w:cs="Arial" w:eastAsia="Arial" w:hAnsi="Arial"/>
          <w:sz w:val="18"/>
          <w:szCs w:val="18"/>
        </w:rPr>
        <w:t xml:space="preserve">At Rs.788 the market capitalisation is Rs.2,150cr and, after the IPO cash, the enterprise value is about Rs.1,930cr: 39 times FY26 sales and 6.1 times post-money book. Trailing earnings are negative. On management's own guidance - 40 sets a month at Rs.1.64cr, the legacy lines flat, a 10% PAT margin - run-rate profit is about Rs.83cr, so the price is 26 times a profit that has not yet been earned in a single month. The 564-set book supports that run-rate for 14 months; holding it needs 480 new sets a year against the 450 won in FY26, i.e. the company has to repeat its first tender result every year. The stock moved from Rs.560 to Rs.720 in the two days after the call guided the ramp and to Rs.978 on 14 October, so the ramp is in the price; a second order cycle is at least partly in the price; margins above 10% and the EMU platform are not.</w:t>
      </w:r>
    </w:p>
    <w:p>
      <w:pPr>
        <w:spacing w:after="80" w:before="0"/>
      </w:pPr>
      <w:r>
        <w:rPr>
          <w:rFonts w:ascii="Arial" w:cs="Arial" w:eastAsia="Arial" w:hAnsi="Arial"/>
          <w:b/>
          <w:bCs/>
          <w:sz w:val="18"/>
          <w:szCs w:val="18"/>
        </w:rPr>
        <w:t xml:space="preserve">4. The variables that decide the next 18 months. </w:t>
      </w:r>
      <w:r>
        <w:rPr>
          <w:rFonts w:ascii="Arial" w:cs="Arial" w:eastAsia="Arial" w:hAnsi="Arial"/>
          <w:sz w:val="18"/>
          <w:szCs w:val="18"/>
        </w:rPr>
        <w:t xml:space="preserve">(i) Sets dispatched per month: the company has said 10 in September, 25 in November and 40 from January 2027; the 2QFY27 results (by 14 November 2026) and the 3QFY27 results (by 14 February 2027) show whether it happened. (ii) Gross margin per set once bulk-purchased material flows through, visible in the same results. (iii) Order replenishment: the CLW tender for 748 locomotives that closed at end-August 2026 should be awarded within 45-90 days and will be filed under Regulation 30. All three are observable before the next annual report.</w:t>
      </w:r>
    </w:p>
    <w:p>
      <w:pPr>
        <w:spacing w:after="80" w:before="0"/>
      </w:pPr>
      <w:r>
        <w:rPr>
          <w:rFonts w:ascii="Arial" w:cs="Arial" w:eastAsia="Arial" w:hAnsi="Arial"/>
          <w:b/>
          <w:bCs/>
          <w:sz w:val="18"/>
          <w:szCs w:val="18"/>
        </w:rPr>
        <w:t xml:space="preserve">5. Can I trust the people and the numbers? </w:t>
      </w:r>
      <w:r>
        <w:rPr>
          <w:rFonts w:ascii="Arial" w:cs="Arial" w:eastAsia="Arial" w:hAnsi="Arial"/>
          <w:sz w:val="18"/>
          <w:szCs w:val="18"/>
        </w:rPr>
        <w:t xml:space="preserve">First reading: the audit is unmodified (Sanmarks &amp; Associates, a Faridabad firm; emphasis of matter on unprovided MSME interest; CARO records that no internal audit existed in FY26). The promoters sit on both sides of material purchases: Quadrant Future Tek, listed and sharing promoters and directors, supplied Rs.13.7cr of specialty cables in FY25 (37% of purchases) and Rs.2.6cr in FY26, and bought Rs.1.8cr of conduit fittings and wire from MV in FY26. Promoter loans of Rs.3cr were drawn and repaid within FY26. An investment property worth Rs.10.5cr is let to a group company for Rs.0.24cr a year, a 2.3% yield. None of this is a qualified audit or a one-way transfer; all of it needs the related-party terms and the promoter-group map that Stage 2 builds. Promise record: too early; the first promises (10 sets in September, 25 in November) are scored at the 2QFY27 results.</w:t>
      </w:r>
    </w:p>
    <w:p>
      <w:pPr>
        <w:spacing w:after="80" w:before="0"/>
      </w:pPr>
      <w:r>
        <w:rPr>
          <w:rFonts w:ascii="Arial" w:cs="Arial" w:eastAsia="Arial" w:hAnsi="Arial"/>
          <w:b/>
          <w:bCs/>
          <w:sz w:val="18"/>
          <w:szCs w:val="18"/>
        </w:rPr>
        <w:t xml:space="preserve">6. What would make me wrong? </w:t>
      </w:r>
      <w:r>
        <w:rPr>
          <w:rFonts w:ascii="Arial" w:cs="Arial" w:eastAsia="Arial" w:hAnsi="Arial"/>
          <w:sz w:val="18"/>
          <w:szCs w:val="18"/>
        </w:rPr>
        <w:t xml:space="preserve">Falsification test: if 4QFY27 (January-March 2027) dispatches, as disclosed with the results due by end-May 2027, are below 25 sets a month, or if 2QFY27 propulsion gross margin does not cover the Rs.4.3cr-a-quarter employee base, the ramp thesis is wrong and the stock is a Rs.45cr hardware business with Rs.290cr of cash and a loss-making R&amp;D centre. The positive version: 40 sets a month by January 2027 with gross margin above 25% makes the FY28 run-rate profit real and the question becomes order replenishment, not execution.</w:t>
      </w:r>
    </w:p>
    <w:p>
      <w:pPr>
        <w:keepNext/>
        <w:spacing w:after="80" w:before="200"/>
      </w:pPr>
      <w:r>
        <w:rPr>
          <w:rFonts w:ascii="Arial" w:cs="Arial" w:eastAsia="Arial" w:hAnsi="Arial"/>
          <w:b/>
          <w:bCs/>
          <w:sz w:val="22"/>
          <w:szCs w:val="22"/>
        </w:rPr>
        <w:t xml:space="preserve">Financial Performance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923"/>
        <w:gridCol w:w="835"/>
        <w:gridCol w:w="835"/>
        <w:gridCol w:w="835"/>
        <w:gridCol w:w="835"/>
        <w:gridCol w:w="835"/>
        <w:gridCol w:w="835"/>
        <w:gridCol w:w="835"/>
        <w:gridCol w:w="835"/>
        <w:gridCol w:w="835"/>
      </w:tblGrid>
      <w:tr>
        <w:trPr>
          <w:tblHeader/>
        </w:trPr>
        <w:tc>
          <w:tcPr>
            <w:tcW w:type="dxa" w:w="2923"/>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left"/>
            </w:pPr>
            <w:r>
              <w:rPr>
                <w:rFonts w:ascii="Arial" w:cs="Arial" w:eastAsia="Arial" w:hAnsi="Arial"/>
                <w:b/>
                <w:bCs/>
                <w:sz w:val="16"/>
                <w:szCs w:val="16"/>
              </w:rPr>
              <w:t xml:space="preserve">Rs. crore</w:t>
            </w:r>
          </w:p>
        </w:tc>
        <w:tc>
          <w:tcPr>
            <w:tcW w:type="dxa" w:w="835"/>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right"/>
            </w:pPr>
            <w:r>
              <w:rPr>
                <w:rFonts w:ascii="Arial" w:cs="Arial" w:eastAsia="Arial" w:hAnsi="Arial"/>
                <w:b/>
                <w:bCs/>
                <w:sz w:val="16"/>
                <w:szCs w:val="16"/>
              </w:rPr>
              <w:t xml:space="preserve">FY22A</w:t>
            </w:r>
          </w:p>
        </w:tc>
        <w:tc>
          <w:tcPr>
            <w:tcW w:type="dxa" w:w="835"/>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right"/>
            </w:pPr>
            <w:r>
              <w:rPr>
                <w:rFonts w:ascii="Arial" w:cs="Arial" w:eastAsia="Arial" w:hAnsi="Arial"/>
                <w:b/>
                <w:bCs/>
                <w:sz w:val="16"/>
                <w:szCs w:val="16"/>
              </w:rPr>
              <w:t xml:space="preserve">FY23A</w:t>
            </w:r>
          </w:p>
        </w:tc>
        <w:tc>
          <w:tcPr>
            <w:tcW w:type="dxa" w:w="835"/>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right"/>
            </w:pPr>
            <w:r>
              <w:rPr>
                <w:rFonts w:ascii="Arial" w:cs="Arial" w:eastAsia="Arial" w:hAnsi="Arial"/>
                <w:b/>
                <w:bCs/>
                <w:sz w:val="16"/>
                <w:szCs w:val="16"/>
              </w:rPr>
              <w:t xml:space="preserve">FY24A</w:t>
            </w:r>
          </w:p>
        </w:tc>
        <w:tc>
          <w:tcPr>
            <w:tcW w:type="dxa" w:w="835"/>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right"/>
            </w:pPr>
            <w:r>
              <w:rPr>
                <w:rFonts w:ascii="Arial" w:cs="Arial" w:eastAsia="Arial" w:hAnsi="Arial"/>
                <w:b/>
                <w:bCs/>
                <w:sz w:val="16"/>
                <w:szCs w:val="16"/>
              </w:rPr>
              <w:t xml:space="preserve">FY25A</w:t>
            </w:r>
          </w:p>
        </w:tc>
        <w:tc>
          <w:tcPr>
            <w:tcW w:type="dxa" w:w="835"/>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right"/>
            </w:pPr>
            <w:r>
              <w:rPr>
                <w:rFonts w:ascii="Arial" w:cs="Arial" w:eastAsia="Arial" w:hAnsi="Arial"/>
                <w:b/>
                <w:bCs/>
                <w:sz w:val="16"/>
                <w:szCs w:val="16"/>
              </w:rPr>
              <w:t xml:space="preserve">FY26A</w:t>
            </w:r>
          </w:p>
        </w:tc>
        <w:tc>
          <w:tcPr>
            <w:tcW w:type="dxa" w:w="835"/>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right"/>
            </w:pPr>
            <w:r>
              <w:rPr>
                <w:rFonts w:ascii="Arial" w:cs="Arial" w:eastAsia="Arial" w:hAnsi="Arial"/>
                <w:b/>
                <w:bCs/>
                <w:sz w:val="16"/>
                <w:szCs w:val="16"/>
              </w:rPr>
              <w:t xml:space="preserve">FY27E</w:t>
            </w:r>
          </w:p>
        </w:tc>
        <w:tc>
          <w:tcPr>
            <w:tcW w:type="dxa" w:w="835"/>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right"/>
            </w:pPr>
            <w:r>
              <w:rPr>
                <w:rFonts w:ascii="Arial" w:cs="Arial" w:eastAsia="Arial" w:hAnsi="Arial"/>
                <w:b/>
                <w:bCs/>
                <w:sz w:val="16"/>
                <w:szCs w:val="16"/>
              </w:rPr>
              <w:t xml:space="preserve">FY28E</w:t>
            </w:r>
          </w:p>
        </w:tc>
        <w:tc>
          <w:tcPr>
            <w:tcW w:type="dxa" w:w="835"/>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right"/>
            </w:pPr>
            <w:r>
              <w:rPr>
                <w:rFonts w:ascii="Arial" w:cs="Arial" w:eastAsia="Arial" w:hAnsi="Arial"/>
                <w:b/>
                <w:bCs/>
                <w:sz w:val="16"/>
                <w:szCs w:val="16"/>
              </w:rPr>
              <w:t xml:space="preserve">FY29E</w:t>
            </w:r>
          </w:p>
        </w:tc>
        <w:tc>
          <w:tcPr>
            <w:tcW w:type="dxa" w:w="835"/>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right"/>
            </w:pPr>
            <w:r>
              <w:rPr>
                <w:rFonts w:ascii="Arial" w:cs="Arial" w:eastAsia="Arial" w:hAnsi="Arial"/>
                <w:b/>
                <w:bCs/>
                <w:sz w:val="16"/>
                <w:szCs w:val="16"/>
              </w:rPr>
              <w:t xml:space="preserve">FY30E</w:t>
            </w:r>
          </w:p>
        </w:tc>
      </w:tr>
      <w:tr>
        <w:trPr>
          <w:tblHeader w:val="false"/>
        </w:trPr>
        <w:tc>
          <w:tcPr>
            <w:tcW w:type="dxa" w:w="292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bCs/>
                <w:sz w:val="16"/>
                <w:szCs w:val="16"/>
              </w:rPr>
              <w:t xml:space="preserve">Revenue</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58.1</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68.1</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50.0</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62.6</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49.4</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v2</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v2</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v2</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v2</w:t>
            </w:r>
          </w:p>
        </w:tc>
      </w:tr>
      <w:tr>
        <w:trPr>
          <w:tblHeader w:val="false"/>
        </w:trPr>
        <w:tc>
          <w:tcPr>
            <w:tcW w:type="dxa" w:w="292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YoY growth</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+17%</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-27%</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+25%</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-21%</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r>
      <w:tr>
        <w:trPr>
          <w:tblHeader w:val="false"/>
        </w:trPr>
        <w:tc>
          <w:tcPr>
            <w:tcW w:type="dxa" w:w="292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bCs/>
                <w:sz w:val="16"/>
                <w:szCs w:val="16"/>
              </w:rPr>
              <w:t xml:space="preserve">EBITDA</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4.5</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6.2</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5.8</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6.9</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(10.3)</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v2</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v2</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v2</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v2</w:t>
            </w:r>
          </w:p>
        </w:tc>
      </w:tr>
      <w:tr>
        <w:trPr>
          <w:tblHeader w:val="false"/>
        </w:trPr>
        <w:tc>
          <w:tcPr>
            <w:tcW w:type="dxa" w:w="292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EBITDA margin</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7.8%</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9.1%</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11.6%</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11.0%</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(20.8)%</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r>
      <w:tr>
        <w:trPr>
          <w:tblHeader w:val="false"/>
        </w:trPr>
        <w:tc>
          <w:tcPr>
            <w:tcW w:type="dxa" w:w="292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bCs/>
                <w:sz w:val="16"/>
                <w:szCs w:val="16"/>
              </w:rPr>
              <w:t xml:space="preserve">PAT</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0.6</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1.2</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0.5</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1.4</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(12.6)</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v2</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v2</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v2</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v2</w:t>
            </w:r>
          </w:p>
        </w:tc>
      </w:tr>
      <w:tr>
        <w:trPr>
          <w:tblHeader w:val="false"/>
        </w:trPr>
        <w:tc>
          <w:tcPr>
            <w:tcW w:type="dxa" w:w="292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EPS (Rs., current share count)</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0.40</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0.81</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0.36</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0.77</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(6.17)</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r>
      <w:tr>
        <w:trPr>
          <w:tblHeader w:val="false"/>
        </w:trPr>
        <w:tc>
          <w:tcPr>
            <w:tcW w:type="dxa" w:w="292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Cash from operations</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n.a.</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3.4</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(5.2)</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5.0</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(57.6)</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r>
      <w:tr>
        <w:trPr>
          <w:tblHeader w:val="false"/>
        </w:trPr>
        <w:tc>
          <w:tcPr>
            <w:tcW w:type="dxa" w:w="292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Capex</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n.a.</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10.2</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4.4</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2.5</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18.2</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r>
      <w:tr>
        <w:trPr>
          <w:tblHeader w:val="false"/>
        </w:trPr>
        <w:tc>
          <w:tcPr>
            <w:tcW w:type="dxa" w:w="292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Net debt (year end)</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9.2</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15.8</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27.5</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27.4</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49.7</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r>
    </w:tbl>
    <w:p>
      <w:pPr>
        <w:spacing w:after="120"/>
      </w:pPr>
      <w:r>
        <w:rPr>
          <w:rFonts w:ascii="Arial" w:cs="Arial" w:eastAsia="Arial" w:hAnsi="Arial"/>
          <w:i/>
          <w:iCs/>
          <w:color w:val="555555"/>
          <w:sz w:val="16"/>
          <w:szCs w:val="16"/>
        </w:rPr>
        <w:t xml:space="preserve">Source: audited standalone financial statements; FY22 Indian GAAP, FY23 onwards Ind AS; EBITDA excludes other income; FY25-FY26 employee and finance costs per the audited annual report where the ACE dump differs. Estimates in v2. EPS on the post-split share count of each year, not the post-IPO count.</w:t>
      </w:r>
    </w:p>
    <w:p>
      <w:pPr>
        <w:keepNext/>
        <w:spacing w:after="60" w:before="120"/>
      </w:pPr>
      <w:r>
        <w:rPr>
          <w:rFonts w:ascii="Arial" w:cs="Arial" w:eastAsia="Arial" w:hAnsi="Arial"/>
          <w:b/>
          <w:bCs/>
          <w:sz w:val="18"/>
          <w:szCs w:val="18"/>
        </w:rPr>
        <w:t xml:space="preserve">Treasury &amp; Balance Sheet Summary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4176"/>
        <w:gridCol w:w="1148"/>
        <w:gridCol w:w="1148"/>
        <w:gridCol w:w="1148"/>
        <w:gridCol w:w="1148"/>
        <w:gridCol w:w="1670"/>
      </w:tblGrid>
      <w:tr>
        <w:trPr>
          <w:tblHeader/>
        </w:trPr>
        <w:tc>
          <w:tcPr>
            <w:tcW w:type="dxa" w:w="4176"/>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left"/>
            </w:pPr>
            <w:r>
              <w:rPr>
                <w:rFonts w:ascii="Arial" w:cs="Arial" w:eastAsia="Arial" w:hAnsi="Arial"/>
                <w:b/>
                <w:bCs/>
                <w:sz w:val="16"/>
                <w:szCs w:val="16"/>
              </w:rPr>
              <w:t xml:space="preserve">Rs. crore</w:t>
            </w:r>
          </w:p>
        </w:tc>
        <w:tc>
          <w:tcPr>
            <w:tcW w:type="dxa" w:w="1148"/>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right"/>
            </w:pPr>
            <w:r>
              <w:rPr>
                <w:rFonts w:ascii="Arial" w:cs="Arial" w:eastAsia="Arial" w:hAnsi="Arial"/>
                <w:b/>
                <w:bCs/>
                <w:sz w:val="16"/>
                <w:szCs w:val="16"/>
              </w:rPr>
              <w:t xml:space="preserve">FY23A</w:t>
            </w:r>
          </w:p>
        </w:tc>
        <w:tc>
          <w:tcPr>
            <w:tcW w:type="dxa" w:w="1148"/>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right"/>
            </w:pPr>
            <w:r>
              <w:rPr>
                <w:rFonts w:ascii="Arial" w:cs="Arial" w:eastAsia="Arial" w:hAnsi="Arial"/>
                <w:b/>
                <w:bCs/>
                <w:sz w:val="16"/>
                <w:szCs w:val="16"/>
              </w:rPr>
              <w:t xml:space="preserve">FY24A</w:t>
            </w:r>
          </w:p>
        </w:tc>
        <w:tc>
          <w:tcPr>
            <w:tcW w:type="dxa" w:w="1148"/>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right"/>
            </w:pPr>
            <w:r>
              <w:rPr>
                <w:rFonts w:ascii="Arial" w:cs="Arial" w:eastAsia="Arial" w:hAnsi="Arial"/>
                <w:b/>
                <w:bCs/>
                <w:sz w:val="16"/>
                <w:szCs w:val="16"/>
              </w:rPr>
              <w:t xml:space="preserve">FY25A</w:t>
            </w:r>
          </w:p>
        </w:tc>
        <w:tc>
          <w:tcPr>
            <w:tcW w:type="dxa" w:w="1148"/>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right"/>
            </w:pPr>
            <w:r>
              <w:rPr>
                <w:rFonts w:ascii="Arial" w:cs="Arial" w:eastAsia="Arial" w:hAnsi="Arial"/>
                <w:b/>
                <w:bCs/>
                <w:sz w:val="16"/>
                <w:szCs w:val="16"/>
              </w:rPr>
              <w:t xml:space="preserve">FY26A</w:t>
            </w:r>
          </w:p>
        </w:tc>
        <w:tc>
          <w:tcPr>
            <w:tcW w:type="dxa" w:w="1670"/>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right"/>
            </w:pPr>
            <w:r>
              <w:rPr>
                <w:rFonts w:ascii="Arial" w:cs="Arial" w:eastAsia="Arial" w:hAnsi="Arial"/>
                <w:b/>
                <w:bCs/>
                <w:sz w:val="16"/>
                <w:szCs w:val="16"/>
              </w:rPr>
              <w:t xml:space="preserve">Post-IPO (pro forma)</w:t>
            </w:r>
          </w:p>
        </w:tc>
      </w:tr>
      <w:tr>
        <w:trPr>
          <w:tblHeader w:val="false"/>
        </w:trPr>
        <w:tc>
          <w:tcPr>
            <w:tcW w:type="dxa" w:w="417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Cash &amp; bank</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2.4</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0.2</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0.1</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0.2</w:t>
            </w:r>
          </w:p>
        </w:tc>
        <w:tc>
          <w:tcPr>
            <w:tcW w:type="dxa" w:w="167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~218 net cash</w:t>
            </w:r>
          </w:p>
        </w:tc>
      </w:tr>
      <w:tr>
        <w:trPr>
          <w:tblHeader w:val="false"/>
        </w:trPr>
        <w:tc>
          <w:tcPr>
            <w:tcW w:type="dxa" w:w="417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Total debt</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18.1</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27.6</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27.5</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49.9</w:t>
            </w:r>
          </w:p>
        </w:tc>
        <w:tc>
          <w:tcPr>
            <w:tcW w:type="dxa" w:w="167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49.9</w:t>
            </w:r>
          </w:p>
        </w:tc>
      </w:tr>
      <w:tr>
        <w:trPr>
          <w:tblHeader w:val="false"/>
        </w:trPr>
        <w:tc>
          <w:tcPr>
            <w:tcW w:type="dxa" w:w="417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Net debt / (net cash)</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15.8</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27.5</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27.4</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49.7</w:t>
            </w:r>
          </w:p>
        </w:tc>
        <w:tc>
          <w:tcPr>
            <w:tcW w:type="dxa" w:w="167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(218)</w:t>
            </w:r>
          </w:p>
        </w:tc>
      </w:tr>
      <w:tr>
        <w:trPr>
          <w:tblHeader w:val="false"/>
        </w:trPr>
        <w:tc>
          <w:tcPr>
            <w:tcW w:type="dxa" w:w="417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Inventories</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13.7</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24.4</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31.8</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67.5</w:t>
            </w:r>
          </w:p>
        </w:tc>
        <w:tc>
          <w:tcPr>
            <w:tcW w:type="dxa" w:w="167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r>
      <w:tr>
        <w:trPr>
          <w:tblHeader w:val="false"/>
        </w:trPr>
        <w:tc>
          <w:tcPr>
            <w:tcW w:type="dxa" w:w="417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Advances to suppliers &amp; other current assets</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1.4</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2.0</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2.8</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21.9</w:t>
            </w:r>
          </w:p>
        </w:tc>
        <w:tc>
          <w:tcPr>
            <w:tcW w:type="dxa" w:w="167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r>
      <w:tr>
        <w:trPr>
          <w:tblHeader w:val="false"/>
        </w:trPr>
        <w:tc>
          <w:tcPr>
            <w:tcW w:type="dxa" w:w="417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Trade receivables</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8.2</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12.6</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14.6</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10.4</w:t>
            </w:r>
          </w:p>
        </w:tc>
        <w:tc>
          <w:tcPr>
            <w:tcW w:type="dxa" w:w="167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r>
      <w:tr>
        <w:trPr>
          <w:tblHeader w:val="false"/>
        </w:trPr>
        <w:tc>
          <w:tcPr>
            <w:tcW w:type="dxa" w:w="417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Trade payables</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8.6</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12.4</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18.5</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21.9</w:t>
            </w:r>
          </w:p>
        </w:tc>
        <w:tc>
          <w:tcPr>
            <w:tcW w:type="dxa" w:w="167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r>
      <w:tr>
        <w:trPr>
          <w:tblHeader w:val="false"/>
        </w:trPr>
        <w:tc>
          <w:tcPr>
            <w:tcW w:type="dxa" w:w="417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Shareholders' funds</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12.6</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16.5</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17.9</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62.6</w:t>
            </w:r>
          </w:p>
        </w:tc>
        <w:tc>
          <w:tcPr>
            <w:tcW w:type="dxa" w:w="167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~331</w:t>
            </w:r>
          </w:p>
        </w:tc>
      </w:tr>
      <w:tr>
        <w:trPr>
          <w:tblHeader w:val="false"/>
        </w:trPr>
        <w:tc>
          <w:tcPr>
            <w:tcW w:type="dxa" w:w="4176"/>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Net working capital, days of sales</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71</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180</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162</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413</w:t>
            </w:r>
          </w:p>
        </w:tc>
        <w:tc>
          <w:tcPr>
            <w:tcW w:type="dxa" w:w="167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r>
    </w:tbl>
    <w:p>
      <w:pPr>
        <w:spacing w:after="120"/>
      </w:pPr>
      <w:r>
        <w:rPr>
          <w:rFonts w:ascii="Arial" w:cs="Arial" w:eastAsia="Arial" w:hAnsi="Arial"/>
          <w:i/>
          <w:iCs/>
          <w:color w:val="555555"/>
          <w:sz w:val="16"/>
          <w:szCs w:val="16"/>
        </w:rPr>
        <w:t xml:space="preserve">Source: audited statements and ACE; post-IPO column adds Rs.290cr gross proceeds less an estimated Rs.22cr of issue expenses (to be replaced by the prospectus figure) and ignores the FY27 working-capital build. Model: MVELECTRO_Model_v1.xlsx.</w:t>
      </w:r>
    </w:p>
    <w:p>
      <w:pPr>
        <w:keepNext/>
        <w:spacing w:after="80" w:before="200"/>
      </w:pPr>
      <w:r>
        <w:rPr>
          <w:rFonts w:ascii="Arial" w:cs="Arial" w:eastAsia="Arial" w:hAnsi="Arial"/>
          <w:b/>
          <w:bCs/>
          <w:sz w:val="22"/>
          <w:szCs w:val="22"/>
        </w:rPr>
        <w:t xml:space="preserve">Capital Raised and Who Paid What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253"/>
        <w:gridCol w:w="2297"/>
        <w:gridCol w:w="2923"/>
        <w:gridCol w:w="1357"/>
        <w:gridCol w:w="1253"/>
        <w:gridCol w:w="1357"/>
      </w:tblGrid>
      <w:tr>
        <w:trPr>
          <w:tblHeader/>
        </w:trPr>
        <w:tc>
          <w:tcPr>
            <w:tcW w:type="dxa" w:w="1253"/>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left"/>
            </w:pPr>
            <w:r>
              <w:rPr>
                <w:rFonts w:ascii="Arial" w:cs="Arial" w:eastAsia="Arial" w:hAnsi="Arial"/>
                <w:b/>
                <w:bCs/>
                <w:sz w:val="16"/>
                <w:szCs w:val="16"/>
              </w:rPr>
              <w:t xml:space="preserve">Date</w:t>
            </w:r>
          </w:p>
        </w:tc>
        <w:tc>
          <w:tcPr>
            <w:tcW w:type="dxa" w:w="2297"/>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left"/>
            </w:pPr>
            <w:r>
              <w:rPr>
                <w:rFonts w:ascii="Arial" w:cs="Arial" w:eastAsia="Arial" w:hAnsi="Arial"/>
                <w:b/>
                <w:bCs/>
                <w:sz w:val="16"/>
                <w:szCs w:val="16"/>
              </w:rPr>
              <w:t xml:space="preserve">Instrument</w:t>
            </w:r>
          </w:p>
        </w:tc>
        <w:tc>
          <w:tcPr>
            <w:tcW w:type="dxa" w:w="2923"/>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left"/>
            </w:pPr>
            <w:r>
              <w:rPr>
                <w:rFonts w:ascii="Arial" w:cs="Arial" w:eastAsia="Arial" w:hAnsi="Arial"/>
                <w:b/>
                <w:bCs/>
                <w:sz w:val="16"/>
                <w:szCs w:val="16"/>
              </w:rPr>
              <w:t xml:space="preserve">Investor</w:t>
            </w:r>
          </w:p>
        </w:tc>
        <w:tc>
          <w:tcPr>
            <w:tcW w:type="dxa" w:w="1357"/>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left"/>
            </w:pPr>
            <w:r>
              <w:rPr>
                <w:rFonts w:ascii="Arial" w:cs="Arial" w:eastAsia="Arial" w:hAnsi="Arial"/>
                <w:b/>
                <w:bCs/>
                <w:sz w:val="16"/>
                <w:szCs w:val="16"/>
              </w:rPr>
              <w:t xml:space="preserve">Shares (today's FV5 basis)</w:t>
            </w:r>
          </w:p>
        </w:tc>
        <w:tc>
          <w:tcPr>
            <w:tcW w:type="dxa" w:w="1253"/>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left"/>
            </w:pPr>
            <w:r>
              <w:rPr>
                <w:rFonts w:ascii="Arial" w:cs="Arial" w:eastAsia="Arial" w:hAnsi="Arial"/>
                <w:b/>
                <w:bCs/>
                <w:sz w:val="16"/>
                <w:szCs w:val="16"/>
              </w:rPr>
              <w:t xml:space="preserve">Price per share, FV5 basis</w:t>
            </w:r>
          </w:p>
        </w:tc>
        <w:tc>
          <w:tcPr>
            <w:tcW w:type="dxa" w:w="1357"/>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left"/>
            </w:pPr>
            <w:r>
              <w:rPr>
                <w:rFonts w:ascii="Arial" w:cs="Arial" w:eastAsia="Arial" w:hAnsi="Arial"/>
                <w:b/>
                <w:bCs/>
                <w:sz w:val="16"/>
                <w:szCs w:val="16"/>
              </w:rPr>
              <w:t xml:space="preserve">Amount (Rs. cr)</w:t>
            </w:r>
          </w:p>
        </w:tc>
      </w:tr>
      <w:tr>
        <w:trPr>
          <w:tblHeader w:val="false"/>
        </w:trPr>
        <w:tc>
          <w:tcPr>
            <w:tcW w:type="dxa" w:w="125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Sep 2023</w:t>
            </w:r>
          </w:p>
        </w:tc>
        <w:tc>
          <w:tcPr>
            <w:tcW w:type="dxa" w:w="229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CCPS, converted Mar 2025 with 31:1 reserved bonus</w:t>
            </w:r>
          </w:p>
        </w:tc>
        <w:tc>
          <w:tcPr>
            <w:tcW w:type="dxa" w:w="292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Ramendra Pratap Singh, Sangeeta Singh (reclassified promoter Nov 2025)</w:t>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36.5 lakh</w:t>
            </w:r>
          </w:p>
        </w:tc>
        <w:tc>
          <w:tcPr>
            <w:tcW w:type="dxa" w:w="125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Rs.8.9</w:t>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3.25</w:t>
            </w:r>
          </w:p>
        </w:tc>
      </w:tr>
      <w:tr>
        <w:trPr>
          <w:tblHeader w:val="false"/>
        </w:trPr>
        <w:tc>
          <w:tcPr>
            <w:tcW w:type="dxa" w:w="125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Dec 2023</w:t>
            </w:r>
          </w:p>
        </w:tc>
        <w:tc>
          <w:tcPr>
            <w:tcW w:type="dxa" w:w="229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Bonus 31:1</w:t>
            </w:r>
          </w:p>
        </w:tc>
        <w:tc>
          <w:tcPr>
            <w:tcW w:type="dxa" w:w="292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All holders</w:t>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w:t>
            </w:r>
          </w:p>
        </w:tc>
        <w:tc>
          <w:tcPr>
            <w:tcW w:type="dxa" w:w="125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w:t>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w:t>
            </w:r>
          </w:p>
        </w:tc>
      </w:tr>
      <w:tr>
        <w:trPr>
          <w:tblHeader w:val="false"/>
        </w:trPr>
        <w:tc>
          <w:tcPr>
            <w:tcW w:type="dxa" w:w="125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Aug &amp; Oct 2025</w:t>
            </w:r>
          </w:p>
        </w:tc>
        <w:tc>
          <w:tcPr>
            <w:tcW w:type="dxa" w:w="229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Private placements at Rs.547 (FV10)</w:t>
            </w:r>
          </w:p>
        </w:tc>
        <w:tc>
          <w:tcPr>
            <w:tcW w:type="dxa" w:w="292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Madhuri Kela 5.75 lakh FV10 (5.6%); Raghav Investment; 20 others; CFO and CS 2,000 each</w:t>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21.8 lakh</w:t>
            </w:r>
          </w:p>
        </w:tc>
        <w:tc>
          <w:tcPr>
            <w:tcW w:type="dxa" w:w="125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Rs.273.5</w:t>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59.6</w:t>
            </w:r>
          </w:p>
        </w:tc>
      </w:tr>
      <w:tr>
        <w:trPr>
          <w:tblHeader w:val="false"/>
        </w:trPr>
        <w:tc>
          <w:tcPr>
            <w:tcW w:type="dxa" w:w="125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Nov 2025</w:t>
            </w:r>
          </w:p>
        </w:tc>
        <w:tc>
          <w:tcPr>
            <w:tcW w:type="dxa" w:w="229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Split FV10 to FV5</w:t>
            </w:r>
          </w:p>
        </w:tc>
        <w:tc>
          <w:tcPr>
            <w:tcW w:type="dxa" w:w="292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w:t>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w:t>
            </w:r>
          </w:p>
        </w:tc>
        <w:tc>
          <w:tcPr>
            <w:tcW w:type="dxa" w:w="125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w:t>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w:t>
            </w:r>
          </w:p>
        </w:tc>
      </w:tr>
      <w:tr>
        <w:trPr>
          <w:tblHeader w:val="false"/>
        </w:trPr>
        <w:tc>
          <w:tcPr>
            <w:tcW w:type="dxa" w:w="125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Aug 2026</w:t>
            </w:r>
          </w:p>
        </w:tc>
        <w:tc>
          <w:tcPr>
            <w:tcW w:type="dxa" w:w="229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IPO, fresh issue</w:t>
            </w:r>
          </w:p>
        </w:tc>
        <w:tc>
          <w:tcPr>
            <w:tcW w:type="dxa" w:w="292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Public; anchor book</w:t>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68.2 lakh</w:t>
            </w:r>
          </w:p>
        </w:tc>
        <w:tc>
          <w:tcPr>
            <w:tcW w:type="dxa" w:w="125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Rs.425</w:t>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290.0</w:t>
            </w:r>
          </w:p>
        </w:tc>
      </w:tr>
      <w:tr>
        <w:trPr>
          <w:tblHeader w:val="false"/>
        </w:trPr>
        <w:tc>
          <w:tcPr>
            <w:tcW w:type="dxa" w:w="125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23 Oct 2026</w:t>
            </w:r>
          </w:p>
        </w:tc>
        <w:tc>
          <w:tcPr>
            <w:tcW w:type="dxa" w:w="229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Market</w:t>
            </w:r>
          </w:p>
        </w:tc>
        <w:tc>
          <w:tcPr>
            <w:tcW w:type="dxa" w:w="292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w:t>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272.8 lakh outstanding</w:t>
            </w:r>
          </w:p>
        </w:tc>
        <w:tc>
          <w:tcPr>
            <w:tcW w:type="dxa" w:w="125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Rs.788</w:t>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2,150 market cap</w:t>
            </w:r>
          </w:p>
        </w:tc>
      </w:tr>
    </w:tbl>
    <w:p>
      <w:pPr>
        <w:spacing w:after="120"/>
      </w:pPr>
      <w:r>
        <w:rPr>
          <w:rFonts w:ascii="Arial" w:cs="Arial" w:eastAsia="Arial" w:hAnsi="Arial"/>
          <w:i/>
          <w:iCs/>
          <w:color w:val="555555"/>
          <w:sz w:val="16"/>
          <w:szCs w:val="16"/>
        </w:rPr>
        <w:t xml:space="preserve">Source: Prospectus pages 103-106 and 153; FY26 annual report directors' report; NSE. No dividend has ever been paid.</w:t>
      </w:r>
    </w:p>
    <w:p>
      <w:pPr>
        <w:keepNext/>
        <w:spacing w:after="80" w:before="200"/>
      </w:pPr>
      <w:r>
        <w:rPr>
          <w:rFonts w:ascii="Arial" w:cs="Arial" w:eastAsia="Arial" w:hAnsi="Arial"/>
          <w:b/>
          <w:bCs/>
          <w:sz w:val="22"/>
          <w:szCs w:val="22"/>
        </w:rPr>
        <w:t xml:space="preserve">Stock Price History</w:t>
      </w:r>
    </w:p>
    <w:p>
      <w:pPr>
        <w:spacing w:after="40"/>
      </w:pPr>
      <w:r>
        <w:drawing>
          <wp:inline distT="0" distB="0" distL="0" distR="0">
            <wp:extent cx="658177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581775" cy="3105150"/>
                    </a:xfrm>
                    <a:prstGeom prst="rect">
                      <a:avLst/>
                    </a:prstGeom>
                  </pic:spPr>
                </pic:pic>
              </a:graphicData>
            </a:graphic>
          </wp:inline>
        </w:drawing>
      </w:r>
    </w:p>
    <w:p>
      <w:pPr>
        <w:spacing w:after="80" w:before="0"/>
      </w:pPr>
      <w:r>
        <w:rPr>
          <w:rFonts w:ascii="Arial" w:cs="Arial" w:eastAsia="Arial" w:hAnsi="Arial"/>
          <w:sz w:val="18"/>
          <w:szCs w:val="18"/>
        </w:rPr>
        <w:t xml:space="preserve">There are fifty-four trading days of history. The stock listed at a 47% premium to the Rs.425 issue price, drifted to Rs.560 on 26 August after the 1QFY27 loss, and rose 28% in the two sessions after the 27 August call that guided 40 sets a month, on 28 million shares traded in a day against a free float of about 115 million. It peaked at Rs.978 on 14 October on volume of 17 million and has since fallen 19% with no filing in between. The price has so far reacted to management's words, not to a reported number; the first reported number of the ramp arrives with the 2QFY27 results. Overhangs: the pre-IPO placement shares (10.9 lakh FV10, 21.8 lakh FV5) are locked until about February 2027; promoters' 57.7% for 18 months from allotment.</w:t>
      </w:r>
    </w:p>
    <w:p>
      <w:pPr>
        <w:keepNext/>
        <w:spacing w:after="80" w:before="200"/>
      </w:pPr>
      <w:r>
        <w:rPr>
          <w:rFonts w:ascii="Arial" w:cs="Arial" w:eastAsia="Arial" w:hAnsi="Arial"/>
          <w:b/>
          <w:bCs/>
          <w:sz w:val="22"/>
          <w:szCs w:val="22"/>
        </w:rPr>
        <w:t xml:space="preserve">Valuation</w:t>
      </w:r>
    </w:p>
    <w:p>
      <w:pPr>
        <w:spacing w:after="80" w:before="0"/>
      </w:pPr>
      <w:r>
        <w:rPr>
          <w:rFonts w:ascii="Arial" w:cs="Arial" w:eastAsia="Arial" w:hAnsi="Arial"/>
          <w:sz w:val="18"/>
          <w:szCs w:val="18"/>
        </w:rPr>
        <w:t xml:space="preserve">In v1 only what the price implies; the method, scenario table and sensitivity follow in v2 on the EPC/capital-goods engine (order book times execution plus new orders, by product line) with P/E as the primary method, EV/EBITDA as the cross-check and a reverse DCF of the CMP, net debt taken from the year before the valuation year.</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550"/>
        <w:gridCol w:w="1462"/>
        <w:gridCol w:w="5429"/>
      </w:tblGrid>
      <w:tr>
        <w:trPr>
          <w:tblHeader/>
        </w:trPr>
        <w:tc>
          <w:tcPr>
            <w:tcW w:type="dxa" w:w="3550"/>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left"/>
            </w:pPr>
            <w:r>
              <w:rPr>
                <w:rFonts w:ascii="Arial" w:cs="Arial" w:eastAsia="Arial" w:hAnsi="Arial"/>
                <w:b/>
                <w:bCs/>
                <w:sz w:val="16"/>
                <w:szCs w:val="16"/>
              </w:rPr>
              <w:t xml:space="preserve">At CMP Rs.788</w:t>
            </w:r>
          </w:p>
        </w:tc>
        <w:tc>
          <w:tcPr>
            <w:tcW w:type="dxa" w:w="1462"/>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left"/>
            </w:pPr>
            <w:r>
              <w:rPr>
                <w:rFonts w:ascii="Arial" w:cs="Arial" w:eastAsia="Arial" w:hAnsi="Arial"/>
                <w:b/>
                <w:bCs/>
                <w:sz w:val="16"/>
                <w:szCs w:val="16"/>
              </w:rPr>
              <w:t xml:space="preserve">Value</w:t>
            </w:r>
          </w:p>
        </w:tc>
        <w:tc>
          <w:tcPr>
            <w:tcW w:type="dxa" w:w="5429"/>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left"/>
            </w:pPr>
            <w:r>
              <w:rPr>
                <w:rFonts w:ascii="Arial" w:cs="Arial" w:eastAsia="Arial" w:hAnsi="Arial"/>
                <w:b/>
                <w:bCs/>
                <w:sz w:val="16"/>
                <w:szCs w:val="16"/>
              </w:rPr>
              <w:t xml:space="preserve">Comment</w:t>
            </w:r>
          </w:p>
        </w:tc>
      </w:tr>
      <w:tr>
        <w:trPr>
          <w:tblHeader w:val="false"/>
        </w:trPr>
        <w:tc>
          <w:tcPr>
            <w:tcW w:type="dxa" w:w="35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Market capitalisation</w:t>
            </w:r>
          </w:p>
        </w:tc>
        <w:tc>
          <w:tcPr>
            <w:tcW w:type="dxa" w:w="1462"/>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Rs.2,150cr</w:t>
            </w:r>
          </w:p>
        </w:tc>
        <w:tc>
          <w:tcPr>
            <w:tcW w:type="dxa" w:w="5429"/>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2.728cr shares post-IPO</w:t>
            </w:r>
          </w:p>
        </w:tc>
      </w:tr>
      <w:tr>
        <w:trPr>
          <w:tblHeader w:val="false"/>
        </w:trPr>
        <w:tc>
          <w:tcPr>
            <w:tcW w:type="dxa" w:w="35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Enterprise value, pro forma</w:t>
            </w:r>
          </w:p>
        </w:tc>
        <w:tc>
          <w:tcPr>
            <w:tcW w:type="dxa" w:w="1462"/>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Rs.1,932cr</w:t>
            </w:r>
          </w:p>
        </w:tc>
        <w:tc>
          <w:tcPr>
            <w:tcW w:type="dxa" w:w="5429"/>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after Rs.218cr net cash from the IPO, before the FY27 inventory build</w:t>
            </w:r>
          </w:p>
        </w:tc>
      </w:tr>
      <w:tr>
        <w:trPr>
          <w:tblHeader w:val="false"/>
        </w:trPr>
        <w:tc>
          <w:tcPr>
            <w:tcW w:type="dxa" w:w="35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EV / FY26A sales</w:t>
            </w:r>
          </w:p>
        </w:tc>
        <w:tc>
          <w:tcPr>
            <w:tcW w:type="dxa" w:w="1462"/>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39x</w:t>
            </w:r>
          </w:p>
        </w:tc>
        <w:tc>
          <w:tcPr>
            <w:tcW w:type="dxa" w:w="5429"/>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FY26 revenue Rs.49.4cr</w:t>
            </w:r>
          </w:p>
        </w:tc>
      </w:tr>
      <w:tr>
        <w:trPr>
          <w:tblHeader w:val="false"/>
        </w:trPr>
        <w:tc>
          <w:tcPr>
            <w:tcW w:type="dxa" w:w="35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Price / post-money book</w:t>
            </w:r>
          </w:p>
        </w:tc>
        <w:tc>
          <w:tcPr>
            <w:tcW w:type="dxa" w:w="1462"/>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6.1x</w:t>
            </w:r>
          </w:p>
        </w:tc>
        <w:tc>
          <w:tcPr>
            <w:tcW w:type="dxa" w:w="5429"/>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NAV Rs.129 a share at the issue price</w:t>
            </w:r>
          </w:p>
        </w:tc>
      </w:tr>
      <w:tr>
        <w:trPr>
          <w:tblHeader w:val="false"/>
        </w:trPr>
        <w:tc>
          <w:tcPr>
            <w:tcW w:type="dxa" w:w="35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P/E on run-rate profit implied by guidance</w:t>
            </w:r>
          </w:p>
        </w:tc>
        <w:tc>
          <w:tcPr>
            <w:tcW w:type="dxa" w:w="1462"/>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26x</w:t>
            </w:r>
          </w:p>
        </w:tc>
        <w:tc>
          <w:tcPr>
            <w:tcW w:type="dxa" w:w="5429"/>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40 sets/month x Rs.1.64cr + Rs.45cr legacy = Rs.832cr; 10% PAT = Rs.83cr</w:t>
            </w:r>
          </w:p>
        </w:tc>
      </w:tr>
      <w:tr>
        <w:trPr>
          <w:tblHeader w:val="false"/>
        </w:trPr>
        <w:tc>
          <w:tcPr>
            <w:tcW w:type="dxa" w:w="35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Months of order cover at that run-rate</w:t>
            </w:r>
          </w:p>
        </w:tc>
        <w:tc>
          <w:tcPr>
            <w:tcW w:type="dxa" w:w="1462"/>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14</w:t>
            </w:r>
          </w:p>
        </w:tc>
        <w:tc>
          <w:tcPr>
            <w:tcW w:type="dxa" w:w="5429"/>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564 sets / 480 a year</w:t>
            </w:r>
          </w:p>
        </w:tc>
      </w:tr>
      <w:tr>
        <w:trPr>
          <w:tblHeader w:val="false"/>
        </w:trPr>
        <w:tc>
          <w:tcPr>
            <w:tcW w:type="dxa" w:w="35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Order wins needed each year to hold the run-rate</w:t>
            </w:r>
          </w:p>
        </w:tc>
        <w:tc>
          <w:tcPr>
            <w:tcW w:type="dxa" w:w="1462"/>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480 sets</w:t>
            </w:r>
          </w:p>
        </w:tc>
        <w:tc>
          <w:tcPr>
            <w:tcW w:type="dxa" w:w="5429"/>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FY26 wins 450 = 27% of the tendered 1,659</w:t>
            </w:r>
          </w:p>
        </w:tc>
      </w:tr>
      <w:tr>
        <w:trPr>
          <w:tblHeader w:val="false"/>
        </w:trPr>
        <w:tc>
          <w:tcPr>
            <w:tcW w:type="dxa" w:w="35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Peer context</w:t>
            </w:r>
          </w:p>
        </w:tc>
        <w:tc>
          <w:tcPr>
            <w:tcW w:type="dxa" w:w="1462"/>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n.a.</w:t>
            </w:r>
          </w:p>
        </w:tc>
        <w:tc>
          <w:tcPr>
            <w:tcW w:type="dxa" w:w="5429"/>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No listed peer with an approved indigenous propulsion system; Hind Rectifiers (pending approval) is the prospectus proxy; v2 adds Hind Rectifiers, Quadrant Future Tek and the railway-equipment set</w:t>
            </w:r>
          </w:p>
        </w:tc>
      </w:tr>
    </w:tbl>
    <w:p>
      <w:pPr>
        <w:spacing w:after="120"/>
      </w:pPr>
      <w:r>
        <w:rPr>
          <w:rFonts w:ascii="Arial" w:cs="Arial" w:eastAsia="Arial" w:hAnsi="Arial"/>
          <w:i/>
          <w:iCs/>
          <w:color w:val="555555"/>
          <w:sz w:val="16"/>
          <w:szCs w:val="16"/>
        </w:rPr>
        <w:t xml:space="preserve">Source: model Valuations sheet. Management guidance from the 27 August 2026 call is used only to show what the price assumes; the v2 base case contains committed orders only.</w:t>
      </w:r>
    </w:p>
    <w:p>
      <w:pPr>
        <w:keepNext/>
        <w:spacing w:after="80" w:before="200"/>
      </w:pPr>
      <w:r>
        <w:rPr>
          <w:rFonts w:ascii="Arial" w:cs="Arial" w:eastAsia="Arial" w:hAnsi="Arial"/>
          <w:b/>
          <w:bCs/>
          <w:sz w:val="22"/>
          <w:szCs w:val="22"/>
        </w:rPr>
        <w:t xml:space="preserve">Corporate Governance Checks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297"/>
        <w:gridCol w:w="2088"/>
        <w:gridCol w:w="6055"/>
      </w:tblGrid>
      <w:tr>
        <w:trPr>
          <w:tblHeader/>
        </w:trPr>
        <w:tc>
          <w:tcPr>
            <w:tcW w:type="dxa" w:w="2297"/>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left"/>
            </w:pPr>
            <w:r>
              <w:rPr>
                <w:rFonts w:ascii="Arial" w:cs="Arial" w:eastAsia="Arial" w:hAnsi="Arial"/>
                <w:b/>
                <w:bCs/>
                <w:sz w:val="16"/>
                <w:szCs w:val="16"/>
              </w:rPr>
              <w:t xml:space="preserve">Parameter</w:t>
            </w:r>
          </w:p>
        </w:tc>
        <w:tc>
          <w:tcPr>
            <w:tcW w:type="dxa" w:w="2088"/>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left"/>
            </w:pPr>
            <w:r>
              <w:rPr>
                <w:rFonts w:ascii="Arial" w:cs="Arial" w:eastAsia="Arial" w:hAnsi="Arial"/>
                <w:b/>
                <w:bCs/>
                <w:sz w:val="16"/>
                <w:szCs w:val="16"/>
              </w:rPr>
              <w:t xml:space="preserve">Status</w:t>
            </w:r>
          </w:p>
        </w:tc>
        <w:tc>
          <w:tcPr>
            <w:tcW w:type="dxa" w:w="6055"/>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left"/>
            </w:pPr>
            <w:r>
              <w:rPr>
                <w:rFonts w:ascii="Arial" w:cs="Arial" w:eastAsia="Arial" w:hAnsi="Arial"/>
                <w:b/>
                <w:bCs/>
                <w:sz w:val="16"/>
                <w:szCs w:val="16"/>
              </w:rPr>
              <w:t xml:space="preserve">Comment</w:t>
            </w:r>
          </w:p>
        </w:tc>
      </w:tr>
      <w:tr>
        <w:trPr>
          <w:tblHeader w:val="false"/>
        </w:trPr>
        <w:tc>
          <w:tcPr>
            <w:tcW w:type="dxa" w:w="229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Promoter holding</w:t>
            </w:r>
          </w:p>
        </w:tc>
        <w:tc>
          <w:tcPr>
            <w:tcW w:type="dxa" w:w="208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57.7%</w:t>
            </w:r>
          </w:p>
        </w:tc>
        <w:tc>
          <w:tcPr>
            <w:tcW w:type="dxa" w:w="605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Vohra and Dhawan families plus Ramendra Pratap Singh; six named promoters</w:t>
            </w:r>
          </w:p>
        </w:tc>
      </w:tr>
      <w:tr>
        <w:trPr>
          <w:tblHeader w:val="false"/>
        </w:trPr>
        <w:tc>
          <w:tcPr>
            <w:tcW w:type="dxa" w:w="229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Promoter pledge</w:t>
            </w:r>
          </w:p>
        </w:tc>
        <w:tc>
          <w:tcPr>
            <w:tcW w:type="dxa" w:w="208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Not verified</w:t>
            </w:r>
          </w:p>
        </w:tc>
        <w:tc>
          <w:tcPr>
            <w:tcW w:type="dxa" w:w="605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Not in the documents in hand; check the Sep-2026 shareholding pattern in Stage 2</w:t>
            </w:r>
          </w:p>
        </w:tc>
      </w:tr>
      <w:tr>
        <w:trPr>
          <w:tblHeader w:val="false"/>
        </w:trPr>
        <w:tc>
          <w:tcPr>
            <w:tcW w:type="dxa" w:w="229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Board</w:t>
            </w:r>
          </w:p>
        </w:tc>
        <w:tc>
          <w:tcPr>
            <w:tcW w:type="dxa" w:w="208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9 directors, 3 independent</w:t>
            </w:r>
          </w:p>
        </w:tc>
        <w:tc>
          <w:tcPr>
            <w:tcW w:type="dxa" w:w="605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Independent chairman Sanjeev Mehta (appointed Sep 2025), Vipin Sharma (CA), Kanika Bhutani (CS); one nominee director</w:t>
            </w:r>
          </w:p>
        </w:tc>
      </w:tr>
      <w:tr>
        <w:trPr>
          <w:tblHeader w:val="false"/>
        </w:trPr>
        <w:tc>
          <w:tcPr>
            <w:tcW w:type="dxa" w:w="229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Auditor</w:t>
            </w:r>
          </w:p>
        </w:tc>
        <w:tc>
          <w:tcPr>
            <w:tcW w:type="dxa" w:w="208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Sanmarks &amp; Associates, Faridabad</w:t>
            </w:r>
          </w:p>
        </w:tc>
        <w:tc>
          <w:tcPr>
            <w:tcW w:type="dxa" w:w="605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Unmodified opinion FY26; emphasis of matter on MSMED interest not provided; CARO: no internal audit in FY26 (internal auditor appointed Aug 2026); previous auditor Jugal Arora &amp; Co</w:t>
            </w:r>
          </w:p>
        </w:tc>
      </w:tr>
      <w:tr>
        <w:trPr>
          <w:tblHeader w:val="false"/>
        </w:trPr>
        <w:tc>
          <w:tcPr>
            <w:tcW w:type="dxa" w:w="229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Related-party transactions</w:t>
            </w:r>
          </w:p>
        </w:tc>
        <w:tc>
          <w:tcPr>
            <w:tcW w:type="dxa" w:w="208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Material</w:t>
            </w:r>
          </w:p>
        </w:tc>
        <w:tc>
          <w:tcPr>
            <w:tcW w:type="dxa" w:w="605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Quadrant Future Tek (common promoters, listed): purchases Rs.13.7cr FY25 and Rs.2.6cr FY26, sales Rs.1.8cr FY26; rent from IBoard India Rs.0.24cr on a Rs.10.5cr investment property; promoter loans Rs.3.0cr drawn and repaid FY26</w:t>
            </w:r>
          </w:p>
        </w:tc>
      </w:tr>
      <w:tr>
        <w:trPr>
          <w:tblHeader w:val="false"/>
        </w:trPr>
        <w:tc>
          <w:tcPr>
            <w:tcW w:type="dxa" w:w="229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Contingent liabilities</w:t>
            </w:r>
          </w:p>
        </w:tc>
        <w:tc>
          <w:tcPr>
            <w:tcW w:type="dxa" w:w="208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Rs.3.5cr</w:t>
            </w:r>
          </w:p>
        </w:tc>
        <w:tc>
          <w:tcPr>
            <w:tcW w:type="dxa" w:w="605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Bank guarantees and GST; 5.7% of FY26 equity</w:t>
            </w:r>
          </w:p>
        </w:tc>
      </w:tr>
      <w:tr>
        <w:trPr>
          <w:tblHeader w:val="false"/>
        </w:trPr>
        <w:tc>
          <w:tcPr>
            <w:tcW w:type="dxa" w:w="229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Dividends</w:t>
            </w:r>
          </w:p>
        </w:tc>
        <w:tc>
          <w:tcPr>
            <w:tcW w:type="dxa" w:w="208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None</w:t>
            </w:r>
          </w:p>
        </w:tc>
        <w:tc>
          <w:tcPr>
            <w:tcW w:type="dxa" w:w="605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No dividend in the company's history; dividend policy adopted</w:t>
            </w:r>
          </w:p>
        </w:tc>
      </w:tr>
      <w:tr>
        <w:trPr>
          <w:tblHeader w:val="false"/>
        </w:trPr>
        <w:tc>
          <w:tcPr>
            <w:tcW w:type="dxa" w:w="229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Regulatory</w:t>
            </w:r>
          </w:p>
        </w:tc>
        <w:tc>
          <w:tcPr>
            <w:tcW w:type="dxa" w:w="208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Two Reg 30 filings since listing</w:t>
            </w:r>
          </w:p>
        </w:tc>
        <w:tc>
          <w:tcPr>
            <w:tcW w:type="dxa" w:w="605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Nothing adverse found; prospectus discloses a wrongly dated return of allotment (Mar 2025) and non-compliances in historical private placements, since regularised</w:t>
            </w:r>
          </w:p>
        </w:tc>
      </w:tr>
      <w:tr>
        <w:trPr>
          <w:tblHeader w:val="false"/>
        </w:trPr>
        <w:tc>
          <w:tcPr>
            <w:tcW w:type="dxa" w:w="229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Investor relations</w:t>
            </w:r>
          </w:p>
        </w:tc>
        <w:tc>
          <w:tcPr>
            <w:tcW w:type="dxa" w:w="208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Stellar IR; quarterly call</w:t>
            </w:r>
          </w:p>
        </w:tc>
        <w:tc>
          <w:tcPr>
            <w:tcW w:type="dxa" w:w="605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First call held; transcript and presentation filed within five days</w:t>
            </w:r>
          </w:p>
        </w:tc>
      </w:tr>
    </w:tbl>
    <w:p>
      <w:pPr>
        <w:spacing w:after="80" w:before="0"/>
      </w:pPr>
      <w:r>
        <w:rPr>
          <w:rFonts w:ascii="Arial" w:cs="Arial" w:eastAsia="Arial" w:hAnsi="Arial"/>
          <w:sz w:val="18"/>
          <w:szCs w:val="18"/>
        </w:rPr>
        <w:t xml:space="preserve">Nothing here is a red flag of the kind that kills an idea; the structural quirk is that the promoters run a second listed railway-electronics company that is MV's largest related-party supplier and a customer, and the auditor is small for a company that is about to multiply its revenue eightfold on a working-capital-heavy contract.</w:t>
      </w:r>
    </w:p>
    <w:p>
      <w:pPr>
        <w:keepNext/>
        <w:spacing w:after="80" w:before="200"/>
      </w:pPr>
      <w:r>
        <w:rPr>
          <w:rFonts w:ascii="Arial" w:cs="Arial" w:eastAsia="Arial" w:hAnsi="Arial"/>
          <w:b/>
          <w:bCs/>
          <w:sz w:val="22"/>
          <w:szCs w:val="22"/>
        </w:rPr>
        <w:t xml:space="preserve">Management Team</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3863"/>
        <w:gridCol w:w="3863"/>
      </w:tblGrid>
      <w:tr>
        <w:trPr>
          <w:tblHeader/>
        </w:trPr>
        <w:tc>
          <w:tcPr>
            <w:tcW w:type="dxa" w:w="2714"/>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left"/>
            </w:pPr>
            <w:r>
              <w:rPr>
                <w:rFonts w:ascii="Arial" w:cs="Arial" w:eastAsia="Arial" w:hAnsi="Arial"/>
                <w:b/>
                <w:bCs/>
                <w:sz w:val="16"/>
                <w:szCs w:val="16"/>
              </w:rPr>
              <w:t xml:space="preserve">Name &amp; Role</w:t>
            </w:r>
          </w:p>
        </w:tc>
        <w:tc>
          <w:tcPr>
            <w:tcW w:type="dxa" w:w="3863"/>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left"/>
            </w:pPr>
            <w:r>
              <w:rPr>
                <w:rFonts w:ascii="Arial" w:cs="Arial" w:eastAsia="Arial" w:hAnsi="Arial"/>
                <w:b/>
                <w:bCs/>
                <w:sz w:val="16"/>
                <w:szCs w:val="16"/>
              </w:rPr>
              <w:t xml:space="preserve">Background</w:t>
            </w:r>
          </w:p>
        </w:tc>
        <w:tc>
          <w:tcPr>
            <w:tcW w:type="dxa" w:w="3863"/>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left"/>
            </w:pPr>
            <w:r>
              <w:rPr>
                <w:rFonts w:ascii="Arial" w:cs="Arial" w:eastAsia="Arial" w:hAnsi="Arial"/>
                <w:b/>
                <w:bCs/>
                <w:sz w:val="16"/>
                <w:szCs w:val="16"/>
              </w:rPr>
              <w:t xml:space="preserve">Assessment (v1)</w:t>
            </w:r>
          </w:p>
        </w:tc>
      </w:tr>
      <w:tr>
        <w:trPr>
          <w:tblHeader w:val="false"/>
        </w:trPr>
        <w:tc>
          <w:tcPr>
            <w:tcW w:type="dxa" w:w="271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Pankaj Rastogi, Managing Director (since Oct 2025)</w:t>
            </w:r>
          </w:p>
        </w:tc>
        <w:tc>
          <w:tcPr>
            <w:tcW w:type="dxa" w:w="386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32 years in power electronics and rolling stock; led the propulsion design; remuneration Rs.0.53cr FY26</w:t>
            </w:r>
          </w:p>
        </w:tc>
        <w:tc>
          <w:tcPr>
            <w:tcW w:type="dxa" w:w="386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The technical lead for the one product that matters; appointed MD only at IPO time</w:t>
            </w:r>
          </w:p>
        </w:tc>
      </w:tr>
      <w:tr>
        <w:trPr>
          <w:tblHeader w:val="false"/>
        </w:trPr>
        <w:tc>
          <w:tcPr>
            <w:tcW w:type="dxa" w:w="271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Mohit Vohra, Founder, Non-Executive Director</w:t>
            </w:r>
          </w:p>
        </w:tc>
        <w:tc>
          <w:tcPr>
            <w:tcW w:type="dxa" w:w="386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Founded the company in 2009; 29 years in engineering; fronts investor calls; also a promoter of Quadrant Future Tek</w:t>
            </w:r>
          </w:p>
        </w:tc>
        <w:tc>
          <w:tcPr>
            <w:tcW w:type="dxa" w:w="386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Strategy and sales voice; all forward guidance on the call came from him</w:t>
            </w:r>
          </w:p>
        </w:tc>
      </w:tr>
      <w:tr>
        <w:trPr>
          <w:tblHeader w:val="false"/>
        </w:trPr>
        <w:tc>
          <w:tcPr>
            <w:tcW w:type="dxa" w:w="271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Amit Dhawan, Non-Executive Director</w:t>
            </w:r>
          </w:p>
        </w:tc>
        <w:tc>
          <w:tcPr>
            <w:tcW w:type="dxa" w:w="386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23 years in railway sales; promoter; lent and was repaid Rs.2.6cr in FY26</w:t>
            </w:r>
          </w:p>
        </w:tc>
        <w:tc>
          <w:tcPr>
            <w:tcW w:type="dxa" w:w="386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Dhawan family is the larger promoter block</w:t>
            </w:r>
          </w:p>
        </w:tc>
      </w:tr>
      <w:tr>
        <w:trPr>
          <w:tblHeader w:val="false"/>
        </w:trPr>
        <w:tc>
          <w:tcPr>
            <w:tcW w:type="dxa" w:w="271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Rahul Dhawan, Whole-Time Director</w:t>
            </w:r>
          </w:p>
        </w:tc>
        <w:tc>
          <w:tcPr>
            <w:tcW w:type="dxa" w:w="386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Plant infrastructure and operations; Rs.0.08cr remuneration</w:t>
            </w:r>
          </w:p>
        </w:tc>
        <w:tc>
          <w:tcPr>
            <w:tcW w:type="dxa" w:w="386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Owns the ramp on the shop floor</w:t>
            </w:r>
          </w:p>
        </w:tc>
      </w:tr>
      <w:tr>
        <w:trPr>
          <w:tblHeader w:val="false"/>
        </w:trPr>
        <w:tc>
          <w:tcPr>
            <w:tcW w:type="dxa" w:w="271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Ajay Kumar, CFO (since Jul 2024)</w:t>
            </w:r>
          </w:p>
        </w:tc>
        <w:tc>
          <w:tcPr>
            <w:tcW w:type="dxa" w:w="386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Rs.0.36cr salary FY26; holds 2,000 pre-IPO shares</w:t>
            </w:r>
          </w:p>
        </w:tc>
        <w:tc>
          <w:tcPr>
            <w:tcW w:type="dxa" w:w="386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New finance function for a company about to run Rs.200cr of working capital</w:t>
            </w:r>
          </w:p>
        </w:tc>
      </w:tr>
      <w:tr>
        <w:trPr>
          <w:tblHeader w:val="false"/>
        </w:trPr>
        <w:tc>
          <w:tcPr>
            <w:tcW w:type="dxa" w:w="271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Sanjeev Mehta, Independent Chairman (since Sep 2025)</w:t>
            </w:r>
          </w:p>
        </w:tc>
        <w:tc>
          <w:tcPr>
            <w:tcW w:type="dxa" w:w="386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XLRI; chemicals industry career</w:t>
            </w:r>
          </w:p>
        </w:tc>
        <w:tc>
          <w:tcPr>
            <w:tcW w:type="dxa" w:w="386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Board constituted for listing; independence untested</w:t>
            </w:r>
          </w:p>
        </w:tc>
      </w:tr>
    </w:tbl>
    <w:p>
      <w:pPr>
        <w:keepNext/>
        <w:spacing w:after="80" w:before="200"/>
      </w:pPr>
      <w:r>
        <w:rPr>
          <w:rFonts w:ascii="Arial" w:cs="Arial" w:eastAsia="Arial" w:hAnsi="Arial"/>
          <w:b/>
          <w:bCs/>
          <w:sz w:val="22"/>
          <w:szCs w:val="22"/>
        </w:rPr>
        <w:t xml:space="preserve">Triggers to Watch</w:t>
      </w:r>
    </w:p>
    <w:p>
      <w:pPr>
        <w:pStyle w:val="ListParagraph"/>
        <w:numPr>
          <w:ilvl w:val="0"/>
          <w:numId w:val="2"/>
        </w:numPr>
        <w:spacing w:after="60"/>
      </w:pPr>
      <w:r>
        <w:rPr>
          <w:rFonts w:ascii="Arial" w:cs="Arial" w:eastAsia="Arial" w:hAnsi="Arial"/>
          <w:sz w:val="18"/>
          <w:szCs w:val="18"/>
        </w:rPr>
        <w:t xml:space="preserve">CLW 748-locomotive propulsion tender award (expected September to December 2026): the first evidence that FY26 share of 27% was not a one-off; a Regulation 30 filing will show quantity and price.</w:t>
      </w:r>
    </w:p>
    <w:p>
      <w:pPr>
        <w:pStyle w:val="ListParagraph"/>
        <w:numPr>
          <w:ilvl w:val="0"/>
          <w:numId w:val="2"/>
        </w:numPr>
        <w:spacing w:after="60"/>
      </w:pPr>
      <w:r>
        <w:rPr>
          <w:rFonts w:ascii="Arial" w:cs="Arial" w:eastAsia="Arial" w:hAnsi="Arial"/>
          <w:sz w:val="18"/>
          <w:szCs w:val="18"/>
        </w:rPr>
        <w:t xml:space="preserve">2QFY27 results, by 14 November 2026: sets dispatched in September-October against the guided 10 in September; gross margin on the first bulk-purchased material; inventory and advances movement.</w:t>
      </w:r>
    </w:p>
    <w:p>
      <w:pPr>
        <w:pStyle w:val="ListParagraph"/>
        <w:numPr>
          <w:ilvl w:val="0"/>
          <w:numId w:val="2"/>
        </w:numPr>
        <w:spacing w:after="60"/>
      </w:pPr>
      <w:r>
        <w:rPr>
          <w:rFonts w:ascii="Arial" w:cs="Arial" w:eastAsia="Arial" w:hAnsi="Arial"/>
          <w:sz w:val="18"/>
          <w:szCs w:val="18"/>
        </w:rPr>
        <w:t xml:space="preserve">3QFY27 results, by 14 February 2027: dispatches against the guided 25 in November and the Rs.400cr FY27 revenue target (which needs roughly Rs.350cr in the second half).</w:t>
      </w:r>
    </w:p>
    <w:p>
      <w:pPr>
        <w:pStyle w:val="ListParagraph"/>
        <w:numPr>
          <w:ilvl w:val="0"/>
          <w:numId w:val="2"/>
        </w:numPr>
        <w:spacing w:after="60"/>
      </w:pPr>
      <w:r>
        <w:rPr>
          <w:rFonts w:ascii="Arial" w:cs="Arial" w:eastAsia="Arial" w:hAnsi="Arial"/>
          <w:sz w:val="18"/>
          <w:szCs w:val="18"/>
        </w:rPr>
        <w:t xml:space="preserve">Unit 2 test set-ups installed by December 2026 (management target) and the Unit 1 second set-up commissioned.</w:t>
      </w:r>
    </w:p>
    <w:p>
      <w:pPr>
        <w:pStyle w:val="ListParagraph"/>
        <w:numPr>
          <w:ilvl w:val="0"/>
          <w:numId w:val="2"/>
        </w:numPr>
        <w:spacing w:after="60"/>
      </w:pPr>
      <w:r>
        <w:rPr>
          <w:rFonts w:ascii="Arial" w:cs="Arial" w:eastAsia="Arial" w:hAnsi="Arial"/>
          <w:sz w:val="18"/>
          <w:szCs w:val="18"/>
        </w:rPr>
        <w:t xml:space="preserve">Pre-IPO lock-in expiry, about February 2027: 21.8 lakh shares (8% of the float) held by the October 2025 investors become saleable.</w:t>
      </w:r>
    </w:p>
    <w:p>
      <w:pPr>
        <w:pStyle w:val="ListParagraph"/>
        <w:numPr>
          <w:ilvl w:val="0"/>
          <w:numId w:val="2"/>
        </w:numPr>
        <w:spacing w:after="60"/>
      </w:pPr>
      <w:r>
        <w:rPr>
          <w:rFonts w:ascii="Arial" w:cs="Arial" w:eastAsia="Arial" w:hAnsi="Arial"/>
          <w:sz w:val="18"/>
          <w:szCs w:val="18"/>
        </w:rPr>
        <w:t xml:space="preserve">MEMU propulsion design freeze and RDSO submission, mid-2027: the first step toward the EMU market that is not in the committed book.</w:t>
      </w:r>
    </w:p>
    <w:p>
      <w:pPr>
        <w:keepNext/>
        <w:spacing w:after="80" w:before="200"/>
      </w:pPr>
      <w:r>
        <w:rPr>
          <w:rFonts w:ascii="Arial" w:cs="Arial" w:eastAsia="Arial" w:hAnsi="Arial"/>
          <w:b/>
          <w:bCs/>
          <w:sz w:val="22"/>
          <w:szCs w:val="22"/>
        </w:rPr>
        <w:t xml:space="preserve">Key Risks</w:t>
      </w:r>
    </w:p>
    <w:p>
      <w:pPr>
        <w:spacing w:after="80" w:before="0"/>
      </w:pPr>
      <w:r>
        <w:rPr>
          <w:rFonts w:ascii="Arial" w:cs="Arial" w:eastAsia="Arial" w:hAnsi="Arial"/>
          <w:b/>
          <w:bCs/>
          <w:sz w:val="18"/>
          <w:szCs w:val="18"/>
        </w:rPr>
        <w:t xml:space="preserve">Execution from three sets to forty a month. </w:t>
      </w:r>
      <w:r>
        <w:rPr>
          <w:rFonts w:ascii="Arial" w:cs="Arial" w:eastAsia="Arial" w:hAnsi="Arial"/>
          <w:sz w:val="18"/>
          <w:szCs w:val="18"/>
        </w:rPr>
        <w:t xml:space="preserve">The company has built three propulsion sets in its history. The plan multiplies that by 160 within fifteen months with a supply chain of thousands of part numbers, lead times of seven days to six months, two factories and one fully installed test set-up. How we would lose: dispatches stall at 10-15 a month, the fixed cost base of Rs.17cr a quarter in employees and other expenses keeps losing money, and liquidated damages at 0.5% a week accrue on Rs.922cr of orders. What would tell us: the dispatch count in the 2QFY27 and 3QFY27 results.</w:t>
      </w:r>
    </w:p>
    <w:p>
      <w:pPr>
        <w:spacing w:after="80" w:before="0"/>
      </w:pPr>
      <w:r>
        <w:rPr>
          <w:rFonts w:ascii="Arial" w:cs="Arial" w:eastAsia="Arial" w:hAnsi="Arial"/>
          <w:b/>
          <w:bCs/>
          <w:sz w:val="18"/>
          <w:szCs w:val="18"/>
        </w:rPr>
        <w:t xml:space="preserve">Margin on fixed-price orders. </w:t>
      </w:r>
      <w:r>
        <w:rPr>
          <w:rFonts w:ascii="Arial" w:cs="Arial" w:eastAsia="Arial" w:hAnsi="Arial"/>
          <w:sz w:val="18"/>
          <w:szCs w:val="18"/>
        </w:rPr>
        <w:t xml:space="preserve">The POs were won L1 or L2 in a seven-bidder tender at Rs.1.64cr a set with, by management's account, no price-variation clause, while IGBT and electronics prices have risen. FY26 gross margin was 29% and 1QFY27 was 9%; the 10% PAT margin guided requires a gross margin in the mid-twenties on sets. How we would lose: the first 200 sets are delivered at a gross margin that does not cover the plant and R&amp;D, and the "profitable in two to three months" promise slips a year. What would tell us: gross margin in the quarter in which propulsion is more than half of revenue.</w:t>
      </w:r>
    </w:p>
    <w:p>
      <w:pPr>
        <w:spacing w:after="80" w:before="0"/>
      </w:pPr>
      <w:r>
        <w:rPr>
          <w:rFonts w:ascii="Arial" w:cs="Arial" w:eastAsia="Arial" w:hAnsi="Arial"/>
          <w:b/>
          <w:bCs/>
          <w:sz w:val="18"/>
          <w:szCs w:val="18"/>
        </w:rPr>
        <w:t xml:space="preserve">One customer, one tender a year. </w:t>
      </w:r>
      <w:r>
        <w:rPr>
          <w:rFonts w:ascii="Arial" w:cs="Arial" w:eastAsia="Arial" w:hAnsi="Arial"/>
          <w:sz w:val="18"/>
          <w:szCs w:val="18"/>
        </w:rPr>
        <w:t xml:space="preserve">Indian Railways is 77% of revenue today and 100% of the order book. Orders come from an annual tender in which the customer deliberately splits quantity among all approved suppliers, which protects the company from losing everything and prevents it from winning everything. How we would lose: the FY27 round gives MV 10-15% share rather than 27%, the second-year run-rate halves, and the valuation built on 480 sets a year has to be rebuilt on 200. What would tell us: the CLW 748-locomotive award and the BLW/PLW rounds that follow.</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297"/>
        <w:gridCol w:w="4594"/>
        <w:gridCol w:w="3550"/>
      </w:tblGrid>
      <w:tr>
        <w:trPr>
          <w:tblHeader/>
        </w:trPr>
        <w:tc>
          <w:tcPr>
            <w:tcW w:type="dxa" w:w="2297"/>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left"/>
            </w:pPr>
            <w:r>
              <w:rPr>
                <w:rFonts w:ascii="Arial" w:cs="Arial" w:eastAsia="Arial" w:hAnsi="Arial"/>
                <w:b/>
                <w:bCs/>
                <w:sz w:val="16"/>
                <w:szCs w:val="16"/>
              </w:rPr>
              <w:t xml:space="preserve">Other risks</w:t>
            </w:r>
          </w:p>
        </w:tc>
        <w:tc>
          <w:tcPr>
            <w:tcW w:type="dxa" w:w="4594"/>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left"/>
            </w:pPr>
            <w:r>
              <w:rPr>
                <w:rFonts w:ascii="Arial" w:cs="Arial" w:eastAsia="Arial" w:hAnsi="Arial"/>
                <w:b/>
                <w:bCs/>
                <w:sz w:val="16"/>
                <w:szCs w:val="16"/>
              </w:rPr>
              <w:t xml:space="preserve">How we would lose</w:t>
            </w:r>
          </w:p>
        </w:tc>
        <w:tc>
          <w:tcPr>
            <w:tcW w:type="dxa" w:w="3550"/>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left"/>
            </w:pPr>
            <w:r>
              <w:rPr>
                <w:rFonts w:ascii="Arial" w:cs="Arial" w:eastAsia="Arial" w:hAnsi="Arial"/>
                <w:b/>
                <w:bCs/>
                <w:sz w:val="16"/>
                <w:szCs w:val="16"/>
              </w:rPr>
              <w:t xml:space="preserve">What would tell us</w:t>
            </w:r>
          </w:p>
        </w:tc>
      </w:tr>
      <w:tr>
        <w:trPr>
          <w:tblHeader w:val="false"/>
        </w:trPr>
        <w:tc>
          <w:tcPr>
            <w:tcW w:type="dxa" w:w="229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Related-party supply chain</w:t>
            </w:r>
          </w:p>
        </w:tc>
        <w:tc>
          <w:tcPr>
            <w:tcW w:type="dxa" w:w="459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Quadrant Future Tek supplies specialty cables at prices the investor cannot see</w:t>
            </w:r>
          </w:p>
        </w:tc>
        <w:tc>
          <w:tcPr>
            <w:tcW w:type="dxa" w:w="35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Related-party note in the FY27 annual report; cable purchases as % of raw material</w:t>
            </w:r>
          </w:p>
        </w:tc>
      </w:tr>
      <w:tr>
        <w:trPr>
          <w:tblHeader w:val="false"/>
        </w:trPr>
        <w:tc>
          <w:tcPr>
            <w:tcW w:type="dxa" w:w="229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Working capital and receivable timing</w:t>
            </w:r>
          </w:p>
        </w:tc>
        <w:tc>
          <w:tcPr>
            <w:tcW w:type="dxa" w:w="459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Indian Railways pays late or inspects slowly; the Rs.290cr is absorbed in inventory before revenue</w:t>
            </w:r>
          </w:p>
        </w:tc>
        <w:tc>
          <w:tcPr>
            <w:tcW w:type="dxa" w:w="35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Receivable and inventory days in 2QFY27-4QFY27</w:t>
            </w:r>
          </w:p>
        </w:tc>
      </w:tr>
      <w:tr>
        <w:trPr>
          <w:tblHeader w:val="false"/>
        </w:trPr>
        <w:tc>
          <w:tcPr>
            <w:tcW w:type="dxa" w:w="229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Technology shift</w:t>
            </w:r>
          </w:p>
        </w:tc>
        <w:tc>
          <w:tcPr>
            <w:tcW w:type="dxa" w:w="459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Railways moves locomotive specifications to silicon-carbide or a new control standard before volumes are earned</w:t>
            </w:r>
          </w:p>
        </w:tc>
        <w:tc>
          <w:tcPr>
            <w:tcW w:type="dxa" w:w="35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RDSO specification changes; CLW tender terms</w:t>
            </w:r>
          </w:p>
        </w:tc>
      </w:tr>
      <w:tr>
        <w:trPr>
          <w:tblHeader w:val="false"/>
        </w:trPr>
        <w:tc>
          <w:tcPr>
            <w:tcW w:type="dxa" w:w="229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Key person</w:t>
            </w:r>
          </w:p>
        </w:tc>
        <w:tc>
          <w:tcPr>
            <w:tcW w:type="dxa" w:w="459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Pankaj Rastogi or the 45-member R&amp;D team leaves</w:t>
            </w:r>
          </w:p>
        </w:tc>
        <w:tc>
          <w:tcPr>
            <w:tcW w:type="dxa" w:w="35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KMP filings</w:t>
            </w:r>
          </w:p>
        </w:tc>
      </w:tr>
      <w:tr>
        <w:trPr>
          <w:tblHeader w:val="false"/>
        </w:trPr>
        <w:tc>
          <w:tcPr>
            <w:tcW w:type="dxa" w:w="229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Auditor and controls</w:t>
            </w:r>
          </w:p>
        </w:tc>
        <w:tc>
          <w:tcPr>
            <w:tcW w:type="dxa" w:w="459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A small auditor and a new internal audit function in a company scaling eightfold</w:t>
            </w:r>
          </w:p>
        </w:tc>
        <w:tc>
          <w:tcPr>
            <w:tcW w:type="dxa" w:w="35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FY27 audit report; any qualification or EoM</w:t>
            </w:r>
          </w:p>
        </w:tc>
      </w:tr>
      <w:tr>
        <w:trPr>
          <w:tblHeader w:val="false"/>
        </w:trPr>
        <w:tc>
          <w:tcPr>
            <w:tcW w:type="dxa" w:w="229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Liquidity and overhang</w:t>
            </w:r>
          </w:p>
        </w:tc>
        <w:tc>
          <w:tcPr>
            <w:tcW w:type="dxa" w:w="459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Pre-IPO investors sell at lock-in expiry (Feb 2027); anchor and pre-IPO holders own 30% of the float</w:t>
            </w:r>
          </w:p>
        </w:tc>
        <w:tc>
          <w:tcPr>
            <w:tcW w:type="dxa" w:w="35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Bulk and block deal disclosures</w:t>
            </w:r>
          </w:p>
        </w:tc>
      </w:tr>
      <w:tr>
        <w:trPr>
          <w:tblHeader w:val="false"/>
        </w:trPr>
        <w:tc>
          <w:tcPr>
            <w:tcW w:type="dxa" w:w="229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Single state</w:t>
            </w:r>
          </w:p>
        </w:tc>
        <w:tc>
          <w:tcPr>
            <w:tcW w:type="dxa" w:w="459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Both plants and the R&amp;D centre are within 40 km in Haryana</w:t>
            </w:r>
          </w:p>
        </w:tc>
        <w:tc>
          <w:tcPr>
            <w:tcW w:type="dxa" w:w="35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w:t>
            </w:r>
          </w:p>
        </w:tc>
      </w:tr>
      <w:tr>
        <w:trPr>
          <w:tblHeader w:val="false"/>
        </w:trPr>
        <w:tc>
          <w:tcPr>
            <w:tcW w:type="dxa" w:w="229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Analytical</w:t>
            </w:r>
          </w:p>
        </w:tc>
        <w:tc>
          <w:tcPr>
            <w:tcW w:type="dxa" w:w="459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Three months of listed history; the cycle view rests on seven years of audited statements, three of them scans</w:t>
            </w:r>
          </w:p>
        </w:tc>
        <w:tc>
          <w:tcPr>
            <w:tcW w:type="dxa" w:w="3550"/>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Stage 2 evidence file</w:t>
            </w:r>
          </w:p>
        </w:tc>
      </w:tr>
    </w:tbl>
    <w:p>
      <w:pPr>
        <w:keepNext/>
        <w:spacing w:after="80" w:before="200"/>
      </w:pPr>
      <w:r>
        <w:rPr>
          <w:rFonts w:ascii="Arial" w:cs="Arial" w:eastAsia="Arial" w:hAnsi="Arial"/>
          <w:b/>
          <w:bCs/>
          <w:sz w:val="22"/>
          <w:szCs w:val="22"/>
        </w:rPr>
        <w:t xml:space="preserve">Final Outlook</w:t>
      </w:r>
    </w:p>
    <w:p>
      <w:pPr>
        <w:spacing w:after="80" w:before="0"/>
      </w:pPr>
      <w:r>
        <w:rPr>
          <w:rFonts w:ascii="Arial" w:cs="Arial" w:eastAsia="Arial" w:hAnsi="Arial"/>
          <w:b/>
          <w:bCs/>
          <w:sz w:val="20"/>
          <w:szCs w:val="20"/>
        </w:rPr>
        <w:t xml:space="preserve">Rating: not assigned in v1   |   Base Target Price: v2   |   Upside: v2  (CMP Rs.788, Mcap Rs.2,150cr)</w:t>
      </w:r>
    </w:p>
    <w:p>
      <w:pPr>
        <w:spacing w:after="80" w:before="0"/>
      </w:pPr>
      <w:r>
        <w:rPr>
          <w:rFonts w:ascii="Arial" w:cs="Arial" w:eastAsia="Arial" w:hAnsi="Arial"/>
          <w:sz w:val="18"/>
          <w:szCs w:val="18"/>
        </w:rPr>
        <w:t xml:space="preserve">MV Electrosystems is a binary execution story dressed as a growth stock. The approval is real, the orders are real and the money to build them is in the bank; what does not yet exist is a month in which the factory produced propulsion sets at a rate that covers its costs. The evidence we have - seven years of audited statements, the prospectus, one quarter of listed results and one call - says the business has never generated free cash, has a customer that controls both price and allocation, and has a cost base already sized for a run-rate it has not reached.</w:t>
      </w:r>
    </w:p>
    <w:p>
      <w:pPr>
        <w:spacing w:after="80" w:before="0"/>
      </w:pPr>
      <w:r>
        <w:rPr>
          <w:rFonts w:ascii="Arial" w:cs="Arial" w:eastAsia="Arial" w:hAnsi="Arial"/>
          <w:sz w:val="18"/>
          <w:szCs w:val="18"/>
        </w:rPr>
        <w:t xml:space="preserve">The market has decided the ramp will happen and has paid 26 times the profit management's guidance implies. That is not an unreasonable multiple for an approved supplier growing into a Rs.2,700cr-a-year addressable tender with a 27% share, if the margin is real. It is a very high multiple for a company whose last reported gross margin was 9%. The variant view is therefore not about the opportunity, which the market sees, but about sequencing: the price has front-run three data points (September dispatches, November dispatches, the CLW award) that arrive between now and February 2027, and each can disappoint.</w:t>
      </w:r>
    </w:p>
    <w:p>
      <w:pPr>
        <w:spacing w:after="80" w:before="0"/>
      </w:pPr>
      <w:r>
        <w:rPr>
          <w:rFonts w:ascii="Arial" w:cs="Arial" w:eastAsia="Arial" w:hAnsi="Arial"/>
          <w:sz w:val="18"/>
          <w:szCs w:val="18"/>
        </w:rPr>
        <w:t xml:space="preserve">Stage 2 will build the customer spending series, the competitor set, the related-party map and the promise scorecard; Stage 3 will put committed orders only into the base case, management's run-rate into the bull case, and a real downside - dispatches at half the guided rate with the legacy lines flat - into the bear case. Until the 2QFY27 results, the honest position is that the question "should I own this at Rs.788" cannot be answered from the numbers in hand, and the investor should treat any position taken before 14 November 2026 as a bet on management's words.</w:t>
      </w:r>
    </w:p>
    <w:p>
      <w:pPr>
        <w:spacing w:after="80" w:before="0"/>
      </w:pPr>
      <w:r>
        <w:rPr>
          <w:rFonts w:ascii="Arial" w:cs="Arial" w:eastAsia="Arial" w:hAnsi="Arial"/>
          <w:sz w:val="18"/>
          <w:szCs w:val="18"/>
        </w:rPr>
        <w:t xml:space="preserve">Key risks to monitor: dispatch count; gross margin on sets; the CLW 748-locomotive award; related-party cable purchases; lock-in expiry in February 2027.</w:t>
      </w:r>
    </w:p>
    <w:p>
      <w:pPr>
        <w:keepNext/>
        <w:spacing w:after="80" w:before="200"/>
      </w:pPr>
      <w:r>
        <w:rPr>
          <w:rFonts w:ascii="Arial" w:cs="Arial" w:eastAsia="Arial" w:hAnsi="Arial"/>
          <w:b/>
          <w:bCs/>
          <w:sz w:val="22"/>
          <w:szCs w:val="22"/>
        </w:rPr>
        <w:t xml:space="preserve">Appendix</w:t>
      </w:r>
    </w:p>
    <w:p>
      <w:pPr>
        <w:keepNext/>
        <w:spacing w:after="60" w:before="120"/>
      </w:pPr>
      <w:r>
        <w:rPr>
          <w:rFonts w:ascii="Arial" w:cs="Arial" w:eastAsia="Arial" w:hAnsi="Arial"/>
          <w:b/>
          <w:bCs/>
          <w:sz w:val="18"/>
          <w:szCs w:val="18"/>
        </w:rPr>
        <w:t xml:space="preserve">A. Order book as on 30 June 2026</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132"/>
        <w:gridCol w:w="1357"/>
        <w:gridCol w:w="835"/>
        <w:gridCol w:w="1253"/>
        <w:gridCol w:w="1357"/>
        <w:gridCol w:w="1148"/>
        <w:gridCol w:w="1357"/>
      </w:tblGrid>
      <w:tr>
        <w:trPr>
          <w:tblHeader/>
        </w:trPr>
        <w:tc>
          <w:tcPr>
            <w:tcW w:type="dxa" w:w="3132"/>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left"/>
            </w:pPr>
            <w:r>
              <w:rPr>
                <w:rFonts w:ascii="Arial" w:cs="Arial" w:eastAsia="Arial" w:hAnsi="Arial"/>
                <w:b/>
                <w:bCs/>
                <w:sz w:val="16"/>
                <w:szCs w:val="16"/>
              </w:rPr>
              <w:t xml:space="preserve">Customer</w:t>
            </w:r>
          </w:p>
        </w:tc>
        <w:tc>
          <w:tcPr>
            <w:tcW w:type="dxa" w:w="1357"/>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right"/>
            </w:pPr>
            <w:r>
              <w:rPr>
                <w:rFonts w:ascii="Arial" w:cs="Arial" w:eastAsia="Arial" w:hAnsi="Arial"/>
                <w:b/>
                <w:bCs/>
                <w:sz w:val="16"/>
                <w:szCs w:val="16"/>
              </w:rPr>
              <w:t xml:space="preserve">PO date</w:t>
            </w:r>
          </w:p>
        </w:tc>
        <w:tc>
          <w:tcPr>
            <w:tcW w:type="dxa" w:w="835"/>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right"/>
            </w:pPr>
            <w:r>
              <w:rPr>
                <w:rFonts w:ascii="Arial" w:cs="Arial" w:eastAsia="Arial" w:hAnsi="Arial"/>
                <w:b/>
                <w:bCs/>
                <w:sz w:val="16"/>
                <w:szCs w:val="16"/>
              </w:rPr>
              <w:t xml:space="preserve">Sets</w:t>
            </w:r>
          </w:p>
        </w:tc>
        <w:tc>
          <w:tcPr>
            <w:tcW w:type="dxa" w:w="1253"/>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right"/>
            </w:pPr>
            <w:r>
              <w:rPr>
                <w:rFonts w:ascii="Arial" w:cs="Arial" w:eastAsia="Arial" w:hAnsi="Arial"/>
                <w:b/>
                <w:bCs/>
                <w:sz w:val="16"/>
                <w:szCs w:val="16"/>
              </w:rPr>
              <w:t xml:space="preserve">Rate (Rs. cr ex GST)</w:t>
            </w:r>
          </w:p>
        </w:tc>
        <w:tc>
          <w:tcPr>
            <w:tcW w:type="dxa" w:w="1357"/>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right"/>
            </w:pPr>
            <w:r>
              <w:rPr>
                <w:rFonts w:ascii="Arial" w:cs="Arial" w:eastAsia="Arial" w:hAnsi="Arial"/>
                <w:b/>
                <w:bCs/>
                <w:sz w:val="16"/>
                <w:szCs w:val="16"/>
              </w:rPr>
              <w:t xml:space="preserve">Equipment (Rs. cr)</w:t>
            </w:r>
          </w:p>
        </w:tc>
        <w:tc>
          <w:tcPr>
            <w:tcW w:type="dxa" w:w="1148"/>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right"/>
            </w:pPr>
            <w:r>
              <w:rPr>
                <w:rFonts w:ascii="Arial" w:cs="Arial" w:eastAsia="Arial" w:hAnsi="Arial"/>
                <w:b/>
                <w:bCs/>
                <w:sz w:val="16"/>
                <w:szCs w:val="16"/>
              </w:rPr>
              <w:t xml:space="preserve">AMC (Rs. cr)</w:t>
            </w:r>
          </w:p>
        </w:tc>
        <w:tc>
          <w:tcPr>
            <w:tcW w:type="dxa" w:w="1357"/>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right"/>
            </w:pPr>
            <w:r>
              <w:rPr>
                <w:rFonts w:ascii="Arial" w:cs="Arial" w:eastAsia="Arial" w:hAnsi="Arial"/>
                <w:b/>
                <w:bCs/>
                <w:sz w:val="16"/>
                <w:szCs w:val="16"/>
              </w:rPr>
              <w:t xml:space="preserve">Total (Rs. cr)</w:t>
            </w:r>
          </w:p>
        </w:tc>
      </w:tr>
      <w:tr>
        <w:trPr>
          <w:tblHeader w:val="false"/>
        </w:trPr>
        <w:tc>
          <w:tcPr>
            <w:tcW w:type="dxa" w:w="3132"/>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CLW</w:t>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24 Dec 2025</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200</w:t>
            </w:r>
          </w:p>
        </w:tc>
        <w:tc>
          <w:tcPr>
            <w:tcW w:type="dxa" w:w="125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1.640</w:t>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328.0</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24.6</w:t>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352.6</w:t>
            </w:r>
          </w:p>
        </w:tc>
      </w:tr>
      <w:tr>
        <w:trPr>
          <w:tblHeader w:val="false"/>
        </w:trPr>
        <w:tc>
          <w:tcPr>
            <w:tcW w:type="dxa" w:w="3132"/>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BLW</w:t>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09 Jan 2026</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161</w:t>
            </w:r>
          </w:p>
        </w:tc>
        <w:tc>
          <w:tcPr>
            <w:tcW w:type="dxa" w:w="125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1.640</w:t>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264.0</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19.8</w:t>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283.8</w:t>
            </w:r>
          </w:p>
        </w:tc>
      </w:tr>
      <w:tr>
        <w:trPr>
          <w:tblHeader w:val="false"/>
        </w:trPr>
        <w:tc>
          <w:tcPr>
            <w:tcW w:type="dxa" w:w="3132"/>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PLW</w:t>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16 Jan 2026</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76</w:t>
            </w:r>
          </w:p>
        </w:tc>
        <w:tc>
          <w:tcPr>
            <w:tcW w:type="dxa" w:w="125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1.650</w:t>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125.4</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9.1</w:t>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134.5</w:t>
            </w:r>
          </w:p>
        </w:tc>
      </w:tr>
      <w:tr>
        <w:trPr>
          <w:tblHeader w:val="false"/>
        </w:trPr>
        <w:tc>
          <w:tcPr>
            <w:tcW w:type="dxa" w:w="3132"/>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BLW</w:t>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27 Jan 2026</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13</w:t>
            </w:r>
          </w:p>
        </w:tc>
        <w:tc>
          <w:tcPr>
            <w:tcW w:type="dxa" w:w="125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1.640</w:t>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21.3</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1.6</w:t>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22.9</w:t>
            </w:r>
          </w:p>
        </w:tc>
      </w:tr>
      <w:tr>
        <w:trPr>
          <w:tblHeader w:val="false"/>
        </w:trPr>
        <w:tc>
          <w:tcPr>
            <w:tcW w:type="dxa" w:w="3132"/>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Earlier and developmental POs (balance)</w:t>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FY25-FY26</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114</w:t>
            </w:r>
          </w:p>
        </w:tc>
        <w:tc>
          <w:tcPr>
            <w:tcW w:type="dxa" w:w="125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1.604</w:t>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182.9</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12.6</w:t>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195.5</w:t>
            </w:r>
          </w:p>
        </w:tc>
      </w:tr>
      <w:tr>
        <w:trPr>
          <w:tblHeader w:val="false"/>
        </w:trPr>
        <w:tc>
          <w:tcPr>
            <w:tcW w:type="dxa" w:w="3132"/>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bCs/>
                <w:sz w:val="16"/>
                <w:szCs w:val="16"/>
              </w:rPr>
              <w:t xml:space="preserve">Executable propulsion book</w:t>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564</w:t>
            </w:r>
          </w:p>
        </w:tc>
        <w:tc>
          <w:tcPr>
            <w:tcW w:type="dxa" w:w="125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921.6</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67.7</w:t>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989.3</w:t>
            </w:r>
          </w:p>
        </w:tc>
      </w:tr>
      <w:tr>
        <w:trPr>
          <w:tblHeader w:val="false"/>
        </w:trPr>
        <w:tc>
          <w:tcPr>
            <w:tcW w:type="dxa" w:w="3132"/>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MCF Raebareli, 6 MEMU rakes (LoA 27 Jun 2026)</w:t>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24-month delivery</w:t>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6</w:t>
            </w:r>
          </w:p>
        </w:tc>
        <w:tc>
          <w:tcPr>
            <w:tcW w:type="dxa" w:w="125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86.5</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4.7</w:t>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91.2</w:t>
            </w:r>
          </w:p>
        </w:tc>
      </w:tr>
      <w:tr>
        <w:trPr>
          <w:tblHeader w:val="false"/>
        </w:trPr>
        <w:tc>
          <w:tcPr>
            <w:tcW w:type="dxa" w:w="3132"/>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CLW composite converter; hotel load converter</w:t>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2</w:t>
            </w:r>
          </w:p>
        </w:tc>
        <w:tc>
          <w:tcPr>
            <w:tcW w:type="dxa" w:w="125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3.3</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0.2</w:t>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3.5</w:t>
            </w:r>
          </w:p>
        </w:tc>
      </w:tr>
      <w:tr>
        <w:trPr>
          <w:tblHeader w:val="false"/>
        </w:trPr>
        <w:tc>
          <w:tcPr>
            <w:tcW w:type="dxa" w:w="3132"/>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Cable management and panels (approx.)</w:t>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c>
          <w:tcPr>
            <w:tcW w:type="dxa" w:w="125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20.0</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20.0</w:t>
            </w:r>
          </w:p>
        </w:tc>
      </w:tr>
      <w:tr>
        <w:trPr>
          <w:tblHeader w:val="false"/>
        </w:trPr>
        <w:tc>
          <w:tcPr>
            <w:tcW w:type="dxa" w:w="3132"/>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bCs/>
                <w:sz w:val="16"/>
                <w:szCs w:val="16"/>
              </w:rPr>
              <w:t xml:space="preserve">Total orders in hand</w:t>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
            </w:r>
          </w:p>
        </w:tc>
        <w:tc>
          <w:tcPr>
            <w:tcW w:type="dxa" w:w="835"/>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
            </w:r>
          </w:p>
        </w:tc>
        <w:tc>
          <w:tcPr>
            <w:tcW w:type="dxa" w:w="1253"/>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1,031.5</w:t>
            </w:r>
          </w:p>
        </w:tc>
        <w:tc>
          <w:tcPr>
            <w:tcW w:type="dxa" w:w="1148"/>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72.5</w:t>
            </w:r>
          </w:p>
        </w:tc>
        <w:tc>
          <w:tcPr>
            <w:tcW w:type="dxa" w:w="1357"/>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bCs/>
                <w:sz w:val="16"/>
                <w:szCs w:val="16"/>
              </w:rPr>
              <w:t xml:space="preserve">1,104.0</w:t>
            </w:r>
          </w:p>
        </w:tc>
      </w:tr>
    </w:tbl>
    <w:p>
      <w:pPr>
        <w:spacing w:after="120"/>
      </w:pPr>
      <w:r>
        <w:rPr>
          <w:rFonts w:ascii="Arial" w:cs="Arial" w:eastAsia="Arial" w:hAnsi="Arial"/>
          <w:i/>
          <w:iCs/>
          <w:color w:val="555555"/>
          <w:sz w:val="16"/>
          <w:szCs w:val="16"/>
        </w:rPr>
        <w:t xml:space="preserve">Source: Prospectus pages 22-25 and 125-126; Q1FY27 investor presentation page 16. The 114-set balance is the difference between the 564 executable sets and the four FY26 POs; its composition is to be confirmed from prospectus page 216 in Stage 2.</w:t>
      </w:r>
    </w:p>
    <w:p>
      <w:pPr>
        <w:keepNext/>
        <w:spacing w:after="60" w:before="120"/>
      </w:pPr>
      <w:r>
        <w:rPr>
          <w:rFonts w:ascii="Arial" w:cs="Arial" w:eastAsia="Arial" w:hAnsi="Arial"/>
          <w:b/>
          <w:bCs/>
          <w:sz w:val="18"/>
          <w:szCs w:val="18"/>
        </w:rPr>
        <w:t xml:space="preserve">B. Summary financials, FY20-FY26</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132"/>
        <w:gridCol w:w="1044"/>
        <w:gridCol w:w="1044"/>
        <w:gridCol w:w="1044"/>
        <w:gridCol w:w="1044"/>
        <w:gridCol w:w="1044"/>
        <w:gridCol w:w="1044"/>
        <w:gridCol w:w="1044"/>
      </w:tblGrid>
      <w:tr>
        <w:trPr>
          <w:tblHeader/>
        </w:trPr>
        <w:tc>
          <w:tcPr>
            <w:tcW w:type="dxa" w:w="3132"/>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left"/>
            </w:pPr>
            <w:r>
              <w:rPr>
                <w:rFonts w:ascii="Arial" w:cs="Arial" w:eastAsia="Arial" w:hAnsi="Arial"/>
                <w:b/>
                <w:bCs/>
                <w:sz w:val="16"/>
                <w:szCs w:val="16"/>
              </w:rPr>
              <w:t xml:space="preserve">Rs. crore</w:t>
            </w:r>
          </w:p>
        </w:tc>
        <w:tc>
          <w:tcPr>
            <w:tcW w:type="dxa" w:w="1044"/>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right"/>
            </w:pPr>
            <w:r>
              <w:rPr>
                <w:rFonts w:ascii="Arial" w:cs="Arial" w:eastAsia="Arial" w:hAnsi="Arial"/>
                <w:b/>
                <w:bCs/>
                <w:sz w:val="16"/>
                <w:szCs w:val="16"/>
              </w:rPr>
              <w:t xml:space="preserve">FY20</w:t>
            </w:r>
          </w:p>
        </w:tc>
        <w:tc>
          <w:tcPr>
            <w:tcW w:type="dxa" w:w="1044"/>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right"/>
            </w:pPr>
            <w:r>
              <w:rPr>
                <w:rFonts w:ascii="Arial" w:cs="Arial" w:eastAsia="Arial" w:hAnsi="Arial"/>
                <w:b/>
                <w:bCs/>
                <w:sz w:val="16"/>
                <w:szCs w:val="16"/>
              </w:rPr>
              <w:t xml:space="preserve">FY21</w:t>
            </w:r>
          </w:p>
        </w:tc>
        <w:tc>
          <w:tcPr>
            <w:tcW w:type="dxa" w:w="1044"/>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right"/>
            </w:pPr>
            <w:r>
              <w:rPr>
                <w:rFonts w:ascii="Arial" w:cs="Arial" w:eastAsia="Arial" w:hAnsi="Arial"/>
                <w:b/>
                <w:bCs/>
                <w:sz w:val="16"/>
                <w:szCs w:val="16"/>
              </w:rPr>
              <w:t xml:space="preserve">FY22</w:t>
            </w:r>
          </w:p>
        </w:tc>
        <w:tc>
          <w:tcPr>
            <w:tcW w:type="dxa" w:w="1044"/>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right"/>
            </w:pPr>
            <w:r>
              <w:rPr>
                <w:rFonts w:ascii="Arial" w:cs="Arial" w:eastAsia="Arial" w:hAnsi="Arial"/>
                <w:b/>
                <w:bCs/>
                <w:sz w:val="16"/>
                <w:szCs w:val="16"/>
              </w:rPr>
              <w:t xml:space="preserve">FY23</w:t>
            </w:r>
          </w:p>
        </w:tc>
        <w:tc>
          <w:tcPr>
            <w:tcW w:type="dxa" w:w="1044"/>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right"/>
            </w:pPr>
            <w:r>
              <w:rPr>
                <w:rFonts w:ascii="Arial" w:cs="Arial" w:eastAsia="Arial" w:hAnsi="Arial"/>
                <w:b/>
                <w:bCs/>
                <w:sz w:val="16"/>
                <w:szCs w:val="16"/>
              </w:rPr>
              <w:t xml:space="preserve">FY24</w:t>
            </w:r>
          </w:p>
        </w:tc>
        <w:tc>
          <w:tcPr>
            <w:tcW w:type="dxa" w:w="1044"/>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right"/>
            </w:pPr>
            <w:r>
              <w:rPr>
                <w:rFonts w:ascii="Arial" w:cs="Arial" w:eastAsia="Arial" w:hAnsi="Arial"/>
                <w:b/>
                <w:bCs/>
                <w:sz w:val="16"/>
                <w:szCs w:val="16"/>
              </w:rPr>
              <w:t xml:space="preserve">FY25</w:t>
            </w:r>
          </w:p>
        </w:tc>
        <w:tc>
          <w:tcPr>
            <w:tcW w:type="dxa" w:w="1044"/>
            <w:tcBorders>
              <w:top w:val="single" w:color="BFBFBF" w:sz="4"/>
              <w:left w:val="single" w:color="BFBFBF" w:sz="4"/>
              <w:bottom w:val="single" w:color="BFBFBF" w:sz="4"/>
              <w:right w:val="single" w:color="BFBFBF" w:sz="4"/>
            </w:tcBorders>
            <w:shd w:fill="D9D9D9" w:color="auto" w:val="clear"/>
            <w:tcMar>
              <w:top w:type="dxa" w:w="30"/>
              <w:left w:type="dxa" w:w="70"/>
              <w:bottom w:type="dxa" w:w="30"/>
              <w:right w:type="dxa" w:w="70"/>
            </w:tcMar>
          </w:tcPr>
          <w:p>
            <w:pPr>
              <w:jc w:val="right"/>
            </w:pPr>
            <w:r>
              <w:rPr>
                <w:rFonts w:ascii="Arial" w:cs="Arial" w:eastAsia="Arial" w:hAnsi="Arial"/>
                <w:b/>
                <w:bCs/>
                <w:sz w:val="16"/>
                <w:szCs w:val="16"/>
              </w:rPr>
              <w:t xml:space="preserve">FY26</w:t>
            </w:r>
          </w:p>
        </w:tc>
      </w:tr>
      <w:tr>
        <w:trPr>
          <w:tblHeader w:val="false"/>
        </w:trPr>
        <w:tc>
          <w:tcPr>
            <w:tcW w:type="dxa" w:w="3132"/>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Revenue</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83.8</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57.4</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58.1</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68.1</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50.0</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62.6</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49.4</w:t>
            </w:r>
          </w:p>
        </w:tc>
      </w:tr>
      <w:tr>
        <w:trPr>
          <w:tblHeader w:val="false"/>
        </w:trPr>
        <w:tc>
          <w:tcPr>
            <w:tcW w:type="dxa" w:w="3132"/>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EBITDA</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6.6</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3.9</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4.5</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6.2</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5.8</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6.9</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(10.3)</w:t>
            </w:r>
          </w:p>
        </w:tc>
      </w:tr>
      <w:tr>
        <w:trPr>
          <w:tblHeader w:val="false"/>
        </w:trPr>
        <w:tc>
          <w:tcPr>
            <w:tcW w:type="dxa" w:w="3132"/>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PAT</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3.1</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0.2</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0.6</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1.2</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0.5</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1.4</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(12.6)</w:t>
            </w:r>
          </w:p>
        </w:tc>
      </w:tr>
      <w:tr>
        <w:trPr>
          <w:tblHeader w:val="false"/>
        </w:trPr>
        <w:tc>
          <w:tcPr>
            <w:tcW w:type="dxa" w:w="3132"/>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Shareholders' funds</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11.1</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11.3</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11.8</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12.6</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16.5</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17.9</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62.6</w:t>
            </w:r>
          </w:p>
        </w:tc>
      </w:tr>
      <w:tr>
        <w:trPr>
          <w:tblHeader w:val="false"/>
        </w:trPr>
        <w:tc>
          <w:tcPr>
            <w:tcW w:type="dxa" w:w="3132"/>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Net debt</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9.2</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11.8</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9.2</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15.8</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27.5</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27.4</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49.7</w:t>
            </w:r>
          </w:p>
        </w:tc>
      </w:tr>
      <w:tr>
        <w:trPr>
          <w:tblHeader w:val="false"/>
        </w:trPr>
        <w:tc>
          <w:tcPr>
            <w:tcW w:type="dxa" w:w="3132"/>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Inventories</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3.2</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8.9</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9.4</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13.7</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24.4</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31.8</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67.5</w:t>
            </w:r>
          </w:p>
        </w:tc>
      </w:tr>
      <w:tr>
        <w:trPr>
          <w:tblHeader w:val="false"/>
        </w:trPr>
        <w:tc>
          <w:tcPr>
            <w:tcW w:type="dxa" w:w="3132"/>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Receivables</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25.7</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8.7</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5.9</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8.2</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12.6</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14.6</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10.4</w:t>
            </w:r>
          </w:p>
        </w:tc>
      </w:tr>
      <w:tr>
        <w:trPr>
          <w:tblHeader w:val="false"/>
        </w:trPr>
        <w:tc>
          <w:tcPr>
            <w:tcW w:type="dxa" w:w="3132"/>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left"/>
            </w:pPr>
            <w:r>
              <w:rPr>
                <w:rFonts w:ascii="Arial" w:cs="Arial" w:eastAsia="Arial" w:hAnsi="Arial"/>
                <w:b w:val="false"/>
                <w:bCs w:val="false"/>
                <w:sz w:val="16"/>
                <w:szCs w:val="16"/>
              </w:rPr>
              <w:t xml:space="preserve">Return on average equity</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n.a.</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1.9%</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5.0%</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9.7%</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3.7%</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8.1%</w:t>
            </w:r>
          </w:p>
        </w:tc>
        <w:tc>
          <w:tcPr>
            <w:tcW w:type="dxa" w:w="1044"/>
            <w:tcBorders>
              <w:top w:val="single" w:color="BFBFBF" w:sz="4"/>
              <w:left w:val="single" w:color="BFBFBF" w:sz="4"/>
              <w:bottom w:val="single" w:color="BFBFBF" w:sz="4"/>
              <w:right w:val="single" w:color="BFBFBF" w:sz="4"/>
            </w:tcBorders>
            <w:tcMar>
              <w:top w:type="dxa" w:w="30"/>
              <w:left w:type="dxa" w:w="70"/>
              <w:bottom w:type="dxa" w:w="30"/>
              <w:right w:type="dxa" w:w="70"/>
            </w:tcMar>
          </w:tcPr>
          <w:p>
            <w:pPr>
              <w:jc w:val="right"/>
            </w:pPr>
            <w:r>
              <w:rPr>
                <w:rFonts w:ascii="Arial" w:cs="Arial" w:eastAsia="Arial" w:hAnsi="Arial"/>
                <w:b w:val="false"/>
                <w:bCs w:val="false"/>
                <w:sz w:val="16"/>
                <w:szCs w:val="16"/>
              </w:rPr>
              <w:t xml:space="preserve">(31.4)%</w:t>
            </w:r>
          </w:p>
        </w:tc>
      </w:tr>
    </w:tbl>
    <w:p>
      <w:pPr>
        <w:spacing w:after="120"/>
      </w:pPr>
      <w:r>
        <w:rPr>
          <w:rFonts w:ascii="Arial" w:cs="Arial" w:eastAsia="Arial" w:hAnsi="Arial"/>
          <w:i/>
          <w:iCs/>
          <w:color w:val="555555"/>
          <w:sz w:val="16"/>
          <w:szCs w:val="16"/>
        </w:rPr>
        <w:t xml:space="preserve">Source: audited financial statements (FY20-FY22 Indian GAAP from the FY21 and FY22 statements; FY23-FY26 Ind AS); model MVELECTRO_Model_v1.xlsx.</w:t>
      </w:r>
    </w:p>
    <w:p>
      <w:pPr>
        <w:keepNext/>
        <w:spacing w:after="60" w:before="120"/>
      </w:pPr>
      <w:r>
        <w:rPr>
          <w:rFonts w:ascii="Arial" w:cs="Arial" w:eastAsia="Arial" w:hAnsi="Arial"/>
          <w:b/>
          <w:bCs/>
          <w:sz w:val="18"/>
          <w:szCs w:val="18"/>
        </w:rPr>
        <w:t xml:space="preserve">C. Sources</w:t>
      </w:r>
    </w:p>
    <w:p>
      <w:pPr>
        <w:spacing w:after="80" w:before="0"/>
      </w:pPr>
      <w:r>
        <w:rPr>
          <w:rFonts w:ascii="Arial" w:cs="Arial" w:eastAsia="Arial" w:hAnsi="Arial"/>
          <w:sz w:val="18"/>
          <w:szCs w:val="18"/>
        </w:rPr>
        <w:t xml:space="preserve">Annual Report 2025-26 (filed 3 September 2026); Prospectus dated 3 August 2026 and Red Herring Prospectus dated 23 July 2026; audited financial statements FY2020-21 to FY2025-26 from the company website; unaudited results for the quarter ended 30 June 2026 (filed 25 August 2026); investor presentation (26 August 2026) and earnings-call transcript (27 August 2026, filed 1 September 2026); ACE Equity data dump (standalone, FY23-FY26); NSE price history. Every number in this note is traceable to notes/evidence.md.</w:t>
      </w:r>
    </w:p>
    <w:p>
      <w:pPr>
        <w:spacing w:after="80" w:before="0"/>
      </w:pPr>
      <w:r>
        <w:rPr>
          <w:rFonts w:ascii="Arial" w:cs="Arial" w:eastAsia="Arial" w:hAnsi="Arial"/>
          <w:sz w:val="16"/>
          <w:szCs w:val="16"/>
        </w:rPr>
        <w:t xml:space="preserve">Strictly Confidential - for internal circulation only. This note is for informational purposes and does not constitute investment advice.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440"/>
      </w:tabs>
    </w:pPr>
    <w:r>
      <w:rPr>
        <w:rFonts w:ascii="Arial" w:cs="Arial" w:eastAsia="Arial" w:hAnsi="Arial"/>
        <w:color w:val="555555"/>
        <w:sz w:val="16"/>
        <w:szCs w:val="16"/>
      </w:rPr>
      <w:t xml:space="preserve">Strictly Confidential - for internal circulation only</w:t>
    </w:r>
    <w:r>
      <w:rPr>
        <w:rFonts w:ascii="Arial" w:cs="Arial" w:eastAsia="Arial" w:hAnsi="Arial"/>
        <w:color w:val="555555"/>
        <w:sz w:val="16"/>
        <w:szCs w:val="16"/>
      </w:rPr>
      <w:t xml:space="preserve">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440"/>
      </w:tabs>
    </w:pPr>
    <w:r>
      <w:rPr>
        <w:rFonts w:ascii="Arial" w:cs="Arial" w:eastAsia="Arial" w:hAnsi="Arial"/>
        <w:color w:val="555555"/>
        <w:sz w:val="16"/>
        <w:szCs w:val="16"/>
      </w:rPr>
      <w:t xml:space="preserve">MV Electrosystems Limited  //  October 2026  //  Mcap Rs.2,150cr</w:t>
    </w:r>
    <w:r>
      <w:rPr>
        <w:rFonts w:ascii="Arial" w:cs="Arial" w:eastAsia="Arial" w:hAnsi="Arial"/>
        <w:color w:val="555555"/>
        <w:sz w:val="16"/>
        <w:szCs w:val="16"/>
      </w:rPr>
      <w:t xml:space="preserve">	MVELECTRO | NSE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3f5cebd938a9d5f8e650b930492e1c32d89ab8f.png"/><Relationship Id="rId10" Type="http://schemas.openxmlformats.org/officeDocument/2006/relationships/image" Target="media/2aa6f52cd14e0f7c9014821ec081321f453a87a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2026-10-25T13:09:40.533Z</dcterms:created>
  <dcterms:modified xsi:type="dcterms:W3CDTF">2026-10-25T13:09:40.533Z</dcterms:modified>
</cp:coreProperties>
</file>

<file path=docProps/custom.xml><?xml version="1.0" encoding="utf-8"?>
<Properties xmlns="http://schemas.openxmlformats.org/officeDocument/2006/custom-properties" xmlns:vt="http://schemas.openxmlformats.org/officeDocument/2006/docPropsVTypes"/>
</file>