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Calibri" w:cs="Calibri" w:eastAsia="Calibri" w:hAnsi="Calibri"/>
          <w:b/>
          <w:bCs/>
          <w:sz w:val="36"/>
          <w:szCs w:val="36"/>
        </w:rPr>
        <w:t xml:space="preserve">ACME Solar Holdings Limited</w:t>
      </w:r>
    </w:p>
    <w:p>
      <w:pPr>
        <w:spacing w:after="60"/>
      </w:pPr>
      <w:r>
        <w:rPr>
          <w:rFonts w:ascii="Calibri" w:cs="Calibri" w:eastAsia="Calibri" w:hAnsi="Calibri"/>
          <w:color w:val="404040"/>
          <w:sz w:val="24"/>
          <w:szCs w:val="24"/>
        </w:rPr>
        <w:t xml:space="preserve">Operating metrics extracted from the FY2024-25 Annual Report and FY25 investor presentations</w:t>
      </w:r>
    </w:p>
    <w:p>
      <w:pPr>
        <w:pBdr>
          <w:bottom w:val="single" w:color="1F3864" w:sz="6"/>
        </w:pBdr>
        <w:spacing w:after="240"/>
      </w:pPr>
      <w:r>
        <w:rPr>
          <w:rFonts w:ascii="Calibri" w:cs="Calibri" w:eastAsia="Calibri" w:hAnsi="Calibri"/>
          <w:color w:val="808080"/>
          <w:sz w:val="19"/>
          <w:szCs w:val="19"/>
        </w:rPr>
        <w:t xml:space="preserve">Prepared 23 October 2026</w:t>
      </w:r>
    </w:p>
    <w:p>
      <w:pPr>
        <w:pStyle w:val="Heading1"/>
        <w:spacing w:after="120" w:before="240"/>
      </w:pPr>
      <w:r>
        <w:rPr>
          <w:rFonts w:ascii="Calibri" w:cs="Calibri" w:eastAsia="Calibri" w:hAnsi="Calibri"/>
        </w:rPr>
        <w:t xml:space="preserve">Scope and conventions</w:t>
      </w:r>
    </w:p>
    <w:p>
      <w:pPr>
        <w:spacing w:after="120"/>
      </w:pPr>
      <w:r>
        <w:rPr>
          <w:rFonts w:ascii="Calibri" w:cs="Calibri" w:eastAsia="Calibri" w:hAnsi="Calibri"/>
          <w:sz w:val="21"/>
          <w:szCs w:val="21"/>
        </w:rPr>
        <w:t xml:space="preserve">Only figures explicitly printed in the documents are reported. Anything that could not be found is marked "not disclosed". Nothing has been estimated or derived.</w:t>
      </w:r>
    </w:p>
    <w:p>
      <w:pPr>
        <w:spacing w:after="120"/>
      </w:pPr>
      <w:r>
        <w:rPr>
          <w:rFonts w:ascii="Calibri" w:cs="Calibri" w:eastAsia="Calibri" w:hAnsi="Calibri"/>
          <w:sz w:val="21"/>
          <w:szCs w:val="21"/>
        </w:rPr>
        <w:t xml:space="preserve">Source documents (file names as in the ACME Solar folder):</w:t>
      </w:r>
    </w:p>
    <w:p>
      <w:pPr>
        <w:pStyle w:val="ListParagraph"/>
        <w:numPr>
          <w:ilvl w:val="0"/>
          <w:numId w:val="2"/>
        </w:numPr>
        <w:spacing w:after="80"/>
      </w:pPr>
      <w:r>
        <w:rPr>
          <w:rFonts w:ascii="Calibri" w:cs="Calibri" w:eastAsia="Calibri" w:hAnsi="Calibri"/>
          <w:sz w:val="21"/>
          <w:szCs w:val="21"/>
        </w:rPr>
        <w:t xml:space="preserve">AR25.pdf: Annual Report 2024-25 (372 pages). Page numbers are PDF page numbers; the report's own printed page number is given in brackets where it differs.</w:t>
      </w:r>
    </w:p>
    <w:p>
      <w:pPr>
        <w:pStyle w:val="ListParagraph"/>
        <w:numPr>
          <w:ilvl w:val="0"/>
          <w:numId w:val="2"/>
        </w:numPr>
        <w:spacing w:after="80"/>
      </w:pPr>
      <w:r>
        <w:rPr>
          <w:rFonts w:ascii="Calibri" w:cs="Calibri" w:eastAsia="Calibri" w:hAnsi="Calibri"/>
          <w:sz w:val="21"/>
          <w:szCs w:val="21"/>
        </w:rPr>
        <w:t xml:space="preserve">Presentation - 2QFY25.pdf, Presentation - 3QFY25.pdf, Presentation - 4QFY25.pdf: quarterly earnings presentations for FY25. Page numbers are PDF page numbers, which match the printed slide numbers.</w:t>
      </w:r>
    </w:p>
    <w:p>
      <w:pPr>
        <w:spacing w:after="120"/>
      </w:pPr>
      <w:r>
        <w:rPr>
          <w:rFonts w:ascii="Calibri" w:cs="Calibri" w:eastAsia="Calibri" w:hAnsi="Calibri"/>
          <w:sz w:val="21"/>
          <w:szCs w:val="21"/>
        </w:rPr>
        <w:t xml:space="preserve">Important caveat on FY2024 comparatives: every FY24 operating figure in these documents is presented on a like-for-like basis that excludes the 369 MW of assets divested in Q4 FY24 (AR25 PDF p.60 footnote 1; 4QFY25 presentation p.10 footnote 1). The unadjusted reported FY24 figures are not printed in any of these documents.</w:t>
      </w:r>
    </w:p>
    <w:p>
      <w:pPr>
        <w:pStyle w:val="Heading1"/>
        <w:spacing w:after="120" w:before="240"/>
      </w:pPr>
      <w:r>
        <w:rPr>
          <w:rFonts w:ascii="Calibri" w:cs="Calibri" w:eastAsia="Calibri" w:hAnsi="Calibri"/>
        </w:rPr>
        <w:t xml:space="preserve">1. Operational capacity and commissioning</w:t>
      </w:r>
    </w:p>
    <w:p>
      <w:pPr>
        <w:pStyle w:val="Heading2"/>
        <w:spacing w:after="120" w:before="240"/>
      </w:pPr>
      <w:r>
        <w:rPr>
          <w:rFonts w:ascii="Calibri" w:cs="Calibri" w:eastAsia="Calibri" w:hAnsi="Calibri"/>
        </w:rPr>
        <w:t xml:space="preserve">1a. Operational capacity by technology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1500"/>
        <w:gridCol w:w="4460"/>
      </w:tblGrid>
      <w:tr>
        <w:trPr>
          <w:tblHeader/>
        </w:trPr>
        <w:tc>
          <w:tcPr>
            <w:tcW w:type="dxa" w:w="19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15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31-Mar-2024</w:t>
            </w:r>
          </w:p>
        </w:tc>
        <w:tc>
          <w:tcPr>
            <w:tcW w:type="dxa" w:w="15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31-Mar-2025</w:t>
            </w:r>
          </w:p>
        </w:tc>
        <w:tc>
          <w:tcPr>
            <w:tcW w:type="dxa" w:w="446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Total operational capacity</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1,340 MW</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2,540 MW</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p.225, notes to consolidated financial statements: "installed capacity of 2,540 MW (31st March 2024: 1,340 MW)". Also AR25 PDF p.24 (printed 22), PDF p.2.</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Solar</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stated as a figure (see note)</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2,540 MW</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3QFY25 presentation p.19 peer table: Solar 2,540; Wind "-"; Hybrid "-". AR25 PDF p.58 (printed 56): "Technology Split basis Operational Capacity, FY25: 100% Solar".</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Wind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Nil shown</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Nil shown ("-")</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3QFY25 presentation p.19; AR25 PDF p.58 ("pure play solar in FY 2025").</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Hybrid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Nil shown</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Nil shown ("-")</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3QFY25 presentation p.19; AR25 PDF p.58.</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FDRE</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Nil shown</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Nil shown</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p.58 (100% solar).</w:t>
            </w:r>
          </w:p>
        </w:tc>
      </w:tr>
      <w:tr>
        <w:tc>
          <w:tcPr>
            <w:tcW w:type="dxa" w:w="19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Commissioned BESS (MWh)</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44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commissioned BESS is reported in any document. The only BESS figure is 550 MWh of standalone BESS won after 31 March 2025 (AR25 PDF p.2 footnote 3).</w:t>
            </w:r>
          </w:p>
        </w:tc>
      </w:tr>
    </w:tbl>
    <w:p>
      <w:pPr>
        <w:spacing w:after="60"/>
      </w:pPr>
    </w:p>
    <w:p>
      <w:pPr>
        <w:spacing w:after="120"/>
      </w:pPr>
      <w:r>
        <w:rPr>
          <w:rFonts w:ascii="Calibri" w:cs="Calibri" w:eastAsia="Calibri" w:hAnsi="Calibri"/>
          <w:sz w:val="21"/>
          <w:szCs w:val="21"/>
        </w:rPr>
        <w:t xml:space="preserve">Note on the 31-Mar-2024 split: no document prints "1,340 MW, all solar" as a figure. Every project in the operational portfolio tables (4QFY25 presentation p.23 and p.24) carries type "Solar", and AR25 PDF p.58 describes the FY25 operational portfolio as pure-play solar, but the technology split for March 2024 is not itself printed.</w:t>
      </w:r>
    </w:p>
    <w:p>
      <w:pPr>
        <w:spacing w:after="120"/>
      </w:pPr>
      <w:r>
        <w:rPr>
          <w:rFonts w:ascii="Calibri" w:cs="Calibri" w:eastAsia="Calibri" w:hAnsi="Calibri"/>
          <w:sz w:val="21"/>
          <w:szCs w:val="21"/>
        </w:rPr>
        <w:t xml:space="preserve">Caution: the 4QFY25 presentation headline of 2,705 MW (p.6, p.20, p.24) is as of May 2025 and includes 165 MW of ACME Sikar commissioned in May 2025. It is not the 31-Mar-2025 figure.</w:t>
      </w:r>
    </w:p>
    <w:p>
      <w:pPr>
        <w:pStyle w:val="Heading2"/>
        <w:spacing w:after="120" w:before="240"/>
      </w:pPr>
      <w:r>
        <w:rPr>
          <w:rFonts w:ascii="Calibri" w:cs="Calibri" w:eastAsia="Calibri" w:hAnsi="Calibri"/>
        </w:rPr>
        <w:t xml:space="preserve">1b. Capacity commissioned during the year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2800"/>
        <w:gridCol w:w="3360"/>
      </w:tblGrid>
      <w:tr>
        <w:trPr>
          <w:tblHeader/>
        </w:trPr>
        <w:tc>
          <w:tcPr>
            <w:tcW w:type="dxa" w:w="15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Year</w:t>
            </w:r>
          </w:p>
        </w:tc>
        <w:tc>
          <w:tcPr>
            <w:tcW w:type="dxa" w:w="17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Capacity commissioned</w:t>
            </w:r>
          </w:p>
        </w:tc>
        <w:tc>
          <w:tcPr>
            <w:tcW w:type="dxa" w:w="28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Projects named</w:t>
            </w:r>
          </w:p>
        </w:tc>
        <w:tc>
          <w:tcPr>
            <w:tcW w:type="dxa" w:w="336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FY2025</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1,200 MW</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ACME Deogarh, ACME Phalodi, ACME Raisar, ACME Dhaulpur (300 MW each; SECI ISTS; Jaisalmer, Rajasthan)</w:t>
            </w:r>
          </w:p>
        </w:tc>
        <w:tc>
          <w:tcPr>
            <w:tcW w:type="dxa" w:w="3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p.2 and PDF p.9 (printed 7): "Operational Capacity added in FY 2025: 1,200 MW". Project names and 300 MW each: AR25 PDF p.17 (printed 15).</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FY2025 phase CODs</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Raisar: 272 MW Dec-2024, 28 MW Jan-2025. Dhaulpur: 238 MW Dec-2024, 62 MW Jan-2025. Deoghar: 253 MW Dec-2024, 47 MW Jan-2025. Phalodi: 260.05 MW Dec-2024, 39.95 MW Jan-2025.</w:t>
            </w:r>
          </w:p>
        </w:tc>
        <w:tc>
          <w:tcPr>
            <w:tcW w:type="dxa" w:w="3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4QFY25 presentation p.24 (COD column).</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FY2024</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FY2024 total is printed</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ACME Aklera 250 MW, SECI: Phase I 200 MW July 2023, Phase II 50 MW January 2024</w:t>
            </w:r>
          </w:p>
        </w:tc>
        <w:tc>
          <w:tcPr>
            <w:tcW w:type="dxa" w:w="3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p.7 (printed 5) timeline under "2023 &amp; 2024": "Commissioned 250 MW of project with SECI as the offtaker". Phase dates: 4QFY25 presentation p.24.</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FY2024 divestment</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369 MW sold in Q4 FY24</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named</w:t>
            </w:r>
          </w:p>
        </w:tc>
        <w:tc>
          <w:tcPr>
            <w:tcW w:type="dxa" w:w="33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p.60 (printed 58) footnote 1; 4QFY25 presentation p.10 footnote 1.</w:t>
            </w:r>
          </w:p>
        </w:tc>
      </w:tr>
    </w:tbl>
    <w:p>
      <w:pPr>
        <w:pStyle w:val="Heading1"/>
        <w:spacing w:after="120" w:before="240"/>
      </w:pPr>
      <w:r>
        <w:rPr>
          <w:rFonts w:ascii="Calibri" w:cs="Calibri" w:eastAsia="Calibri" w:hAnsi="Calibri"/>
        </w:rPr>
        <w:t xml:space="preserve">2. Power generation (million units)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800"/>
        <w:gridCol w:w="3860"/>
      </w:tblGrid>
      <w:tr>
        <w:trPr>
          <w:tblHeader/>
        </w:trPr>
        <w:tc>
          <w:tcPr>
            <w:tcW w:type="dxa" w:w="12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Year</w:t>
            </w:r>
          </w:p>
        </w:tc>
        <w:tc>
          <w:tcPr>
            <w:tcW w:type="dxa" w:w="15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Generation (MU)</w:t>
            </w:r>
          </w:p>
        </w:tc>
        <w:tc>
          <w:tcPr>
            <w:tcW w:type="dxa" w:w="28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Basis</w:t>
            </w:r>
          </w:p>
        </w:tc>
        <w:tc>
          <w:tcPr>
            <w:tcW w:type="dxa" w:w="386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w:t>
            </w:r>
          </w:p>
        </w:tc>
      </w:tr>
      <w:tr>
        <w:tc>
          <w:tcPr>
            <w:tcW w:type="dxa" w:w="1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FY2023</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
            </w:r>
          </w:p>
        </w:tc>
        <w:tc>
          <w:tcPr>
            <w:tcW w:type="dxa" w:w="38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FY23 operating figure appears in AR25 or the FY25 presentations. The only FY23 series shown is Days of Sales Outstanding (2QFY25 p.20; 3QFY25 p.14).</w:t>
            </w:r>
          </w:p>
        </w:tc>
      </w:tr>
      <w:tr>
        <w:tc>
          <w:tcPr>
            <w:tcW w:type="dxa" w:w="1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FY2024</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2,586</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Like-for-like only (excludes 369 MW divested). Reported unadjusted figure not disclosed.</w:t>
            </w:r>
          </w:p>
        </w:tc>
        <w:tc>
          <w:tcPr>
            <w:tcW w:type="dxa" w:w="38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p.15 (printed 13); AR25 PDF p.60 (printed 58); 4QFY25 presentation p.10.</w:t>
            </w:r>
          </w:p>
        </w:tc>
      </w:tr>
      <w:tr>
        <w:tc>
          <w:tcPr>
            <w:tcW w:type="dxa" w:w="12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FY2025</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4,013</w:t>
            </w:r>
          </w:p>
        </w:tc>
        <w:tc>
          <w:tcPr>
            <w:tcW w:type="dxa" w:w="28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Reported</w:t>
            </w:r>
          </w:p>
        </w:tc>
        <w:tc>
          <w:tcPr>
            <w:tcW w:type="dxa" w:w="38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p.2; PDF p.24 (printed 22): "4,013 million units in FY 2025"; PDF p.60 (printed 58); 4QFY25 presentation p.4 and p.10.</w:t>
            </w:r>
          </w:p>
        </w:tc>
      </w:tr>
    </w:tbl>
    <w:p>
      <w:pPr>
        <w:spacing w:after="60"/>
      </w:pPr>
    </w:p>
    <w:p>
      <w:pPr>
        <w:spacing w:after="120"/>
      </w:pPr>
      <w:r>
        <w:rPr>
          <w:rFonts w:ascii="Calibri" w:cs="Calibri" w:eastAsia="Calibri" w:hAnsi="Calibri"/>
          <w:sz w:val="21"/>
          <w:szCs w:val="21"/>
        </w:rPr>
        <w:t xml:space="preserve">Growth of 55.2% in FY25 over like-for-like FY24 is stated at AR25 PDF p.15 and 4QFY25 presentation p.10.</w:t>
      </w:r>
    </w:p>
    <w:p>
      <w:pPr>
        <w:pStyle w:val="Heading1"/>
        <w:spacing w:after="120" w:before="240"/>
      </w:pPr>
      <w:r>
        <w:rPr>
          <w:rFonts w:ascii="Calibri" w:cs="Calibri" w:eastAsia="Calibri" w:hAnsi="Calibri"/>
        </w:rPr>
        <w:t xml:space="preserve">3. Capacity utilisation factor (CUF)</w:t>
      </w:r>
    </w:p>
    <w:p>
      <w:pPr>
        <w:pStyle w:val="Heading2"/>
        <w:spacing w:after="120" w:before="240"/>
      </w:pPr>
      <w:r>
        <w:rPr>
          <w:rFonts w:ascii="Calibri" w:cs="Calibri" w:eastAsia="Calibri" w:hAnsi="Calibri"/>
        </w:rPr>
        <w:t xml:space="preserve">3a. Annual CUF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1700"/>
        <w:gridCol w:w="1400"/>
        <w:gridCol w:w="3660"/>
      </w:tblGrid>
      <w:tr>
        <w:trPr>
          <w:tblHeader/>
        </w:trPr>
        <w:tc>
          <w:tcPr>
            <w:tcW w:type="dxa" w:w="11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Year</w:t>
            </w:r>
          </w:p>
        </w:tc>
        <w:tc>
          <w:tcPr>
            <w:tcW w:type="dxa" w:w="15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Blended</w:t>
            </w:r>
          </w:p>
        </w:tc>
        <w:tc>
          <w:tcPr>
            <w:tcW w:type="dxa" w:w="17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Solar</w:t>
            </w:r>
          </w:p>
        </w:tc>
        <w:tc>
          <w:tcPr>
            <w:tcW w:type="dxa" w:w="14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Wind</w:t>
            </w:r>
          </w:p>
        </w:tc>
        <w:tc>
          <w:tcPr>
            <w:tcW w:type="dxa" w:w="366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FY2023</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None of the documents print an FY23 CUF.</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FY2024</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23.6% (like-for-like)</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 figure; portfolio was all solar</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wind operational</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4QFY25 presentation p.10, with the 369 MW adjustment footnote. AR25 does not print an FY24 CUF.</w:t>
            </w:r>
          </w:p>
        </w:tc>
      </w:tr>
      <w:tr>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FY2025</w:t>
            </w:r>
          </w:p>
        </w:tc>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25.6%</w:t>
            </w:r>
          </w:p>
        </w:tc>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25.6%, labelled "CUF - Solar"</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wind operational</w:t>
            </w:r>
          </w:p>
        </w:tc>
        <w:tc>
          <w:tcPr>
            <w:tcW w:type="dxa" w:w="36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p.2 ("Capacity Utilisation Factor (CUF) - Solar: 25.6%"); PDF p.9 (printed 7); PDF p.24 (printed 22, "portfolio-level CUF to 25.6%"); 4QFY25 presentation p.4 and p.10.</w:t>
            </w:r>
          </w:p>
        </w:tc>
      </w:tr>
    </w:tbl>
    <w:p>
      <w:pPr>
        <w:spacing w:after="60"/>
      </w:pPr>
    </w:p>
    <w:p>
      <w:pPr>
        <w:spacing w:after="120"/>
      </w:pPr>
      <w:r>
        <w:rPr>
          <w:rFonts w:ascii="Calibri" w:cs="Calibri" w:eastAsia="Calibri" w:hAnsi="Calibri"/>
          <w:sz w:val="21"/>
          <w:szCs w:val="21"/>
        </w:rPr>
        <w:t xml:space="preserve">Other period CUFs stated (all like-for-like): H1 FY24 23.3% vs H1 FY25 24.6% (2QFY25 presentation p.5); 9M FY24 23.0% vs 9M FY25 23.7% (3QFY25 presentation p.8).</w:t>
      </w:r>
    </w:p>
    <w:p>
      <w:pPr>
        <w:pStyle w:val="Heading2"/>
        <w:spacing w:after="120" w:before="240"/>
      </w:pPr>
      <w:r>
        <w:rPr>
          <w:rFonts w:ascii="Calibri" w:cs="Calibri" w:eastAsia="Calibri" w:hAnsi="Calibri"/>
        </w:rPr>
        <w:t xml:space="preserve">3b. CUF by state or project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24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Figure</w:t>
            </w:r>
          </w:p>
        </w:tc>
        <w:tc>
          <w:tcPr>
            <w:tcW w:type="dxa" w:w="456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 and caveat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Rajasthan assets, full-year FY2025</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full-year Rajasthan CUF appears in any document.</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Rajasthan assets, Q4 FY2025 only</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29.4% average CUF, on 1,950 MW contracted capacity</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4QFY25 presentation p.10: "In Q4 FY25, Rajasthan-based operational assets with 1,950 MW contracted capacity delivered an average CUF of 29.4%". Quarterly figure, not annual.</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1,200 MW SECI ISTS project (Jaisalmer)</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 estimated CUF; "over 30% annually"</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p.17 (printed 15): "Estimated CUF ~30%". AR25 PDF p.60 (printed 58): "delivers one of the highest CUFs of over 30% annually". Estimate and qualitative statement, not an FY25 actual.</w:t>
            </w:r>
          </w:p>
        </w:tc>
      </w:tr>
      <w:tr>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Any other state-wise or project-wise CUF</w:t>
            </w:r>
          </w:p>
        </w:tc>
        <w:tc>
          <w:tcPr>
            <w:tcW w:type="dxa" w:w="2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4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 table of CUF by state or project is printed.</w:t>
            </w:r>
          </w:p>
        </w:tc>
      </w:tr>
    </w:tbl>
    <w:p>
      <w:pPr>
        <w:pStyle w:val="Heading1"/>
        <w:spacing w:after="120" w:before="240"/>
      </w:pPr>
      <w:r>
        <w:rPr>
          <w:rFonts w:ascii="Calibri" w:cs="Calibri" w:eastAsia="Calibri" w:hAnsi="Calibri"/>
        </w:rPr>
        <w:t xml:space="preserve">4. Plant availability and grid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100"/>
        <w:gridCol w:w="1400"/>
        <w:gridCol w:w="3560"/>
      </w:tblGrid>
      <w:tr>
        <w:trPr>
          <w:tblHeader/>
        </w:trPr>
        <w:tc>
          <w:tcPr>
            <w:tcW w:type="dxa" w:w="17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Metric</w:t>
            </w:r>
          </w:p>
        </w:tc>
        <w:tc>
          <w:tcPr>
            <w:tcW w:type="dxa" w:w="16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FY2024 (like-for-like)</w:t>
            </w:r>
          </w:p>
        </w:tc>
        <w:tc>
          <w:tcPr>
            <w:tcW w:type="dxa" w:w="11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FY2025</w:t>
            </w:r>
          </w:p>
        </w:tc>
        <w:tc>
          <w:tcPr>
            <w:tcW w:type="dxa" w:w="14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Change stated</w:t>
            </w:r>
          </w:p>
        </w:tc>
        <w:tc>
          <w:tcPr>
            <w:tcW w:type="dxa" w:w="356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Plant availability</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99.4%</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99.5%</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 basis points</w:t>
            </w:r>
          </w:p>
        </w:tc>
        <w:tc>
          <w:tcPr>
            <w:tcW w:type="dxa" w:w="3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4QFY25 presentation p.10; AR25 PDF p.15 (printed 13); AR25 PDF p.60 (printed 58).</w:t>
            </w:r>
          </w:p>
        </w:tc>
      </w:tr>
      <w:tr>
        <w:tc>
          <w:tcPr>
            <w:tcW w:type="dxa" w:w="17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Grid availability</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99.4%</w:t>
            </w:r>
          </w:p>
        </w:tc>
        <w:tc>
          <w:tcPr>
            <w:tcW w:type="dxa" w:w="11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99.8%</w:t>
            </w:r>
          </w:p>
        </w:tc>
        <w:tc>
          <w:tcPr>
            <w:tcW w:type="dxa" w:w="14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+32 basis points</w:t>
            </w:r>
          </w:p>
        </w:tc>
        <w:tc>
          <w:tcPr>
            <w:tcW w:type="dxa" w:w="35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Same pages. Basis-point changes are printed on AR25 PDF p.15.</w:t>
            </w:r>
          </w:p>
        </w:tc>
      </w:tr>
    </w:tbl>
    <w:p>
      <w:pPr>
        <w:spacing w:after="60"/>
      </w:pPr>
    </w:p>
    <w:p>
      <w:pPr>
        <w:spacing w:after="120"/>
      </w:pPr>
      <w:r>
        <w:rPr>
          <w:rFonts w:ascii="Calibri" w:cs="Calibri" w:eastAsia="Calibri" w:hAnsi="Calibri"/>
          <w:sz w:val="21"/>
          <w:szCs w:val="21"/>
        </w:rPr>
        <w:t xml:space="preserve">The FY24 values carry the same 369 MW divestment adjustment (AR25 PDF p.15 footnote 2).</w:t>
      </w:r>
    </w:p>
    <w:p>
      <w:pPr>
        <w:pStyle w:val="Heading1"/>
        <w:spacing w:after="120" w:before="240"/>
      </w:pPr>
      <w:r>
        <w:rPr>
          <w:rFonts w:ascii="Calibri" w:cs="Calibri" w:eastAsia="Calibri" w:hAnsi="Calibri"/>
        </w:rPr>
        <w:t xml:space="preserve">5. Curtailment</w:t>
      </w:r>
    </w:p>
    <w:p>
      <w:pPr>
        <w:spacing w:after="120"/>
      </w:pPr>
      <w:r>
        <w:rPr>
          <w:rFonts w:ascii="Calibri" w:cs="Calibri" w:eastAsia="Calibri" w:hAnsi="Calibri"/>
          <w:sz w:val="21"/>
          <w:szCs w:val="21"/>
        </w:rPr>
        <w:t xml:space="preserve">Not disclosed. AR25 and all three FY25 presentations were searched for "curtail", "backing down", "back-down", "deemed generation", "grid unavailability" and "transmission constraint". There are no matches. No quantum in MU, percentage of generation, revenue impact or affected state is given for FY2024 or FY2025.</w:t>
      </w:r>
    </w:p>
    <w:p>
      <w:pPr>
        <w:pStyle w:val="Heading1"/>
        <w:spacing w:after="120" w:before="240"/>
      </w:pPr>
      <w:r>
        <w:rPr>
          <w:rFonts w:ascii="Calibri" w:cs="Calibri" w:eastAsia="Calibri" w:hAnsi="Calibri"/>
        </w:rPr>
        <w:t xml:space="preserve">6. Weighted average tariff of the operational 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600"/>
        <w:gridCol w:w="6260"/>
      </w:tblGrid>
      <w:tr>
        <w:trPr>
          <w:tblHeader/>
        </w:trPr>
        <w:tc>
          <w:tcPr>
            <w:tcW w:type="dxa" w:w="15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Date</w:t>
            </w:r>
          </w:p>
        </w:tc>
        <w:tc>
          <w:tcPr>
            <w:tcW w:type="dxa" w:w="160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Tariff (INR/kWh)</w:t>
            </w:r>
          </w:p>
        </w:tc>
        <w:tc>
          <w:tcPr>
            <w:tcW w:type="dxa" w:w="6260"/>
            <w:shd w:fill="D9E2F3"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Source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31-Mar-2024</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Not disclosed</w:t>
            </w:r>
          </w:p>
        </w:tc>
        <w:tc>
          <w:tcPr>
            <w:tcW w:type="dxa" w:w="62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The 2QFY25 presentation operational portfolio table (p.26 and p.27) lists project-level tariffs but prints no weighted total. No document states a March 2024 portfolio average.</w:t>
            </w:r>
          </w:p>
        </w:tc>
      </w:tr>
      <w:tr>
        <w:tc>
          <w:tcPr>
            <w:tcW w:type="dxa" w:w="15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31-Mar-2025</w:t>
            </w:r>
          </w:p>
        </w:tc>
        <w:tc>
          <w:tcPr>
            <w:tcW w:type="dxa" w:w="160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3.5</w:t>
            </w:r>
          </w:p>
        </w:tc>
        <w:tc>
          <w:tcPr>
            <w:tcW w:type="dxa" w:w="6260"/>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AR25 PDF p.12 (printed 10): "Weighted Average Tariff - Operational: INR 3.5/KWh", footnoted "As on 31st March 2025". The 3QFY25 presentation p.22 shows the same 2,540 MW portfolio with a total of 3.46, rounded to INR 3.5/KWh on p.17.</w:t>
            </w:r>
          </w:p>
        </w:tc>
      </w:tr>
    </w:tbl>
    <w:p>
      <w:pPr>
        <w:spacing w:after="60"/>
      </w:pPr>
    </w:p>
    <w:p>
      <w:pPr>
        <w:spacing w:after="120"/>
      </w:pPr>
      <w:r>
        <w:rPr>
          <w:rFonts w:ascii="Calibri" w:cs="Calibri" w:eastAsia="Calibri" w:hAnsi="Calibri"/>
          <w:sz w:val="21"/>
          <w:szCs w:val="21"/>
        </w:rPr>
        <w:t xml:space="preserve">Caution: the 4QFY25 presentation figure of INR 3.4/kWh (p.20 and p.24) is for the 2,705 MW portfolio as of May 2025, which includes ACME Sikar at INR 3.05/kWh. It is not the 31-Mar-2025 number.</w:t>
      </w:r>
    </w:p>
    <w:p>
      <w:pPr>
        <w:pStyle w:val="Heading1"/>
        <w:spacing w:after="120" w:before="240"/>
      </w:pPr>
      <w:r>
        <w:rPr>
          <w:rFonts w:ascii="Calibri" w:cs="Calibri" w:eastAsia="Calibri" w:hAnsi="Calibri"/>
        </w:rPr>
        <w:t xml:space="preserve">Summary of gaps</w:t>
      </w:r>
    </w:p>
    <w:p>
      <w:pPr>
        <w:pStyle w:val="ListParagraph"/>
        <w:numPr>
          <w:ilvl w:val="0"/>
          <w:numId w:val="2"/>
        </w:numPr>
        <w:spacing w:after="80"/>
      </w:pPr>
      <w:r>
        <w:rPr>
          <w:rFonts w:ascii="Calibri" w:cs="Calibri" w:eastAsia="Calibri" w:hAnsi="Calibri"/>
          <w:sz w:val="21"/>
          <w:szCs w:val="21"/>
        </w:rPr>
        <w:t xml:space="preserve">FY2023 generation and CUF: not in the FY25 annual report or FY25 presentations.</w:t>
      </w:r>
    </w:p>
    <w:p>
      <w:pPr>
        <w:pStyle w:val="ListParagraph"/>
        <w:numPr>
          <w:ilvl w:val="0"/>
          <w:numId w:val="2"/>
        </w:numPr>
        <w:spacing w:after="80"/>
      </w:pPr>
      <w:r>
        <w:rPr>
          <w:rFonts w:ascii="Calibri" w:cs="Calibri" w:eastAsia="Calibri" w:hAnsi="Calibri"/>
          <w:sz w:val="21"/>
          <w:szCs w:val="21"/>
        </w:rPr>
        <w:t xml:space="preserve">FY2024 reported (unadjusted) generation, CUF and availability: not disclosed; only like-for-like figures excluding 369 MW of divested assets are printed.</w:t>
      </w:r>
    </w:p>
    <w:p>
      <w:pPr>
        <w:pStyle w:val="ListParagraph"/>
        <w:numPr>
          <w:ilvl w:val="0"/>
          <w:numId w:val="2"/>
        </w:numPr>
        <w:spacing w:after="80"/>
      </w:pPr>
      <w:r>
        <w:rPr>
          <w:rFonts w:ascii="Calibri" w:cs="Calibri" w:eastAsia="Calibri" w:hAnsi="Calibri"/>
          <w:sz w:val="21"/>
          <w:szCs w:val="21"/>
        </w:rPr>
        <w:t xml:space="preserve">Technology split of the 1,340 MW at 31-Mar-2024: not printed as a figure, although every listed project is solar.</w:t>
      </w:r>
    </w:p>
    <w:p>
      <w:pPr>
        <w:pStyle w:val="ListParagraph"/>
        <w:numPr>
          <w:ilvl w:val="0"/>
          <w:numId w:val="2"/>
        </w:numPr>
        <w:spacing w:after="80"/>
      </w:pPr>
      <w:r>
        <w:rPr>
          <w:rFonts w:ascii="Calibri" w:cs="Calibri" w:eastAsia="Calibri" w:hAnsi="Calibri"/>
          <w:sz w:val="21"/>
          <w:szCs w:val="21"/>
        </w:rPr>
        <w:t xml:space="preserve">Commissioned BESS capacity: nothing reported at either date.</w:t>
      </w:r>
    </w:p>
    <w:p>
      <w:pPr>
        <w:pStyle w:val="ListParagraph"/>
        <w:numPr>
          <w:ilvl w:val="0"/>
          <w:numId w:val="2"/>
        </w:numPr>
        <w:spacing w:after="80"/>
      </w:pPr>
      <w:r>
        <w:rPr>
          <w:rFonts w:ascii="Calibri" w:cs="Calibri" w:eastAsia="Calibri" w:hAnsi="Calibri"/>
          <w:sz w:val="21"/>
          <w:szCs w:val="21"/>
        </w:rPr>
        <w:t xml:space="preserve">Full-year CUF for Rajasthan or any other state: not disclosed; only a Q4 FY25 Rajasthan figure and an estimate for the 1,200 MW project.</w:t>
      </w:r>
    </w:p>
    <w:p>
      <w:pPr>
        <w:pStyle w:val="ListParagraph"/>
        <w:numPr>
          <w:ilvl w:val="0"/>
          <w:numId w:val="2"/>
        </w:numPr>
        <w:spacing w:after="80"/>
      </w:pPr>
      <w:r>
        <w:rPr>
          <w:rFonts w:ascii="Calibri" w:cs="Calibri" w:eastAsia="Calibri" w:hAnsi="Calibri"/>
          <w:sz w:val="21"/>
          <w:szCs w:val="21"/>
        </w:rPr>
        <w:t xml:space="preserve">Curtailment: no disclosure of any kind.</w:t>
      </w:r>
    </w:p>
    <w:p>
      <w:pPr>
        <w:pStyle w:val="ListParagraph"/>
        <w:numPr>
          <w:ilvl w:val="0"/>
          <w:numId w:val="2"/>
        </w:numPr>
        <w:spacing w:after="80"/>
      </w:pPr>
      <w:r>
        <w:rPr>
          <w:rFonts w:ascii="Calibri" w:cs="Calibri" w:eastAsia="Calibri" w:hAnsi="Calibri"/>
          <w:sz w:val="21"/>
          <w:szCs w:val="21"/>
        </w:rPr>
        <w:t xml:space="preserve">Weighted average tariff at 31-Mar-2024: not disclosed.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Calibri" w:cs="Calibri" w:eastAsia="Calibri" w:hAnsi="Calibri"/>
      <w:b/>
      <w:bCs/>
      <w:color w:val="1F3864"/>
      <w:sz w:val="28"/>
      <w:szCs w:val="28"/>
    </w:rPr>
  </w:style>
  <w:style w:type="paragraph" w:styleId="Heading2">
    <w:name w:val="Heading 2"/>
    <w:basedOn w:val="Normal"/>
    <w:next w:val="Normal"/>
    <w:qFormat/>
    <w:pPr>
      <w:spacing w:after="100" w:before="200"/>
      <w:outlineLvl w:val="1"/>
    </w:pPr>
    <w:rPr>
      <w:rFonts w:ascii="Calibri" w:cs="Calibri" w:eastAsia="Calibri" w:hAnsi="Calibri"/>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2026-10-23T08:45:38.250Z</dcterms:created>
  <dcterms:modified xsi:type="dcterms:W3CDTF">2026-10-23T08:45:38.269Z</dcterms:modified>
</cp:coreProperties>
</file>

<file path=docProps/custom.xml><?xml version="1.0" encoding="utf-8"?>
<Properties xmlns="http://schemas.openxmlformats.org/officeDocument/2006/custom-properties" xmlns:vt="http://schemas.openxmlformats.org/officeDocument/2006/docPropsVTypes"/>
</file>