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rFonts w:cs="Times New Roman" w:ascii="Times New Roman" w:hAnsi="Times New Roman"/>
          <w:sz w:val="16"/>
          <w:szCs w:val="16"/>
        </w:rPr>
        <w:t xml:space="preserve">с 01.09.2025г.  (18 недель)                                                                                                                                              ________________И.Э.Вильданов             </w:t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“</w:t>
      </w:r>
      <w:r>
        <w:rPr>
          <w:rFonts w:cs="Times New Roman" w:ascii="Times New Roman" w:hAnsi="Times New Roman"/>
          <w:sz w:val="16"/>
          <w:szCs w:val="16"/>
        </w:rPr>
        <w:t>____” _______________20___ г.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2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направление подготовки 07.04.03 Дизайн архитектурной среды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 xml:space="preserve">направленность (профиль) «Инновационный дизайн»  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на  осенний  семестр  2025/ 2026 учебного года.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2"/>
        <w:gridCol w:w="748"/>
        <w:gridCol w:w="850"/>
        <w:gridCol w:w="1390"/>
        <w:gridCol w:w="7192"/>
      </w:tblGrid>
      <w:tr>
        <w:trPr>
          <w:trHeight w:val="37" w:hRule="atLeast"/>
          <w:cantSplit w:val="true"/>
        </w:trPr>
        <w:tc>
          <w:tcPr>
            <w:tcW w:w="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748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390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  <w:lang w:val="en-US"/>
              </w:rPr>
              <w:t>2</w:t>
            </w: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4ИМ01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7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Методология организации цвето-световой среды (Лекции) доц. Балабанова Ю.П. 10-515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Методология организации цвето-световой среды (Практические) доц. Балабанова Ю.П. 10-515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Формообразование в постиндустриальной архитектуре и дизайне (Лекции) доц. Белов М. И.10-304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Формообразование в постиндустриальной архитектуре и дизайне (Практические) доц. Белов М. И. 10-304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7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338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Городской дизайн-регламент (Лекции) доц.  Кудряшева Е. А. 10-207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Городской дизайн-регламент (Практические) доц. Кудряшева Е. А. 10-207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Концептуальное архитектурно-дизайнерское проектирование (Практические) доц. Балабанова Ю.П. 10-515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Концептуальное архитектурно-дизайнерское проектирование (Практические) доц. Балабанова Ю.П. 10-515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7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3366FF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3366FF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3366FF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3366FF"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3366FF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3366FF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3366FF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3366FF"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3366FF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3366FF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3366FF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3366FF"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Анализ и экспертная оценка в дизайне архитектурной среды (Лекции)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Анализ и экспертная оценка в дизайне архитектурной среды (Практические)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Анализ и экспертная оценка в дизайне архитектурной среды (Практические)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7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Параметризм как стиль в современной архитектуре и дизайне (Практические) доц. Белов М. И 10-304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Профессиональная архитектурно-дизайнерская практика (Лекции) ст. преп. Давлетбаев А.А. 10-304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    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Концептуальное архитектурно-дизайнерское проектирование (Практические) доц. Балабанова Ю.П. 10-515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Профессиональная архитектурно-дизайнерская практика (Практические)  ст. преп. Давлетбаев А.А. 10-304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7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Проблемы реконструкции исторической среды (Лекции) доц. Мухитов Р. К.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Проблемы реконструкции исторической среды (Лекции) доц. Мухитов Р. К.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Теория и актуальные проблемы дизайна архитектурной среды (Лекции) доц.  Ибрагимова А.Ф.10-202. </w:t>
            </w:r>
          </w:p>
        </w:tc>
      </w:tr>
      <w:tr>
        <w:trPr>
          <w:trHeight w:val="23" w:hRule="atLeast"/>
          <w:cantSplit w:val="true"/>
        </w:trPr>
        <w:tc>
          <w:tcPr>
            <w:tcW w:w="5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Теория и актуальные проблемы дизайна архитектурной среды (Практические) доц.  Ибрагимова А.Ф.10-202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 / А.И. Романова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jc w:val="center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Calibri" w:hAnsi="Calibri" w:eastAsia="Calibri" w:cs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rFonts w:ascii="Calibri" w:hAnsi="Calibri" w:eastAsia="Calibri" w:cs="Calibri"/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2025-08-20T10:35:00Z</dcterms:created>
  <dc:creator>Боровских Ольга Ивановна</dc:creator>
  <dc:description/>
  <cp:keywords/>
  <dc:language>en-US</dc:language>
  <cp:lastModifiedBy>umuolga</cp:lastModifiedBy>
  <cp:lastPrinted>2021-03-24T11:52:00Z</cp:lastPrinted>
  <dcterms:modified xsi:type="dcterms:W3CDTF">2025-08-27T10:58:00Z</dcterms:modified>
  <cp:revision>6</cp:revision>
  <dc:subject/>
  <dc:title>КАЗАНСКИЙ  ГОСУДАРСТВЕННЫЙ  АРХИТЕКТУРНО-СТРОИТЕЛЬНЫЙ  УНИВЕРСИТЕТ</dc:title>
</cp:coreProperties>
</file>