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rPr>
          <w:sz w:val="16"/>
          <w:szCs w:val="16"/>
        </w:rPr>
      </w:pPr>
      <w:r>
        <w:rPr>
          <w:sz w:val="16"/>
          <w:szCs w:val="16"/>
        </w:rPr>
        <w:t>КАЗАНСКИЙ  ГОСУДАРСТВЕННЫЙ  АРХИТЕКТУРНО-СТРОИТЕЛЬНЫЙ  УНИВЕРСИТЕТ</w:t>
      </w:r>
    </w:p>
    <w:p>
      <w:pPr>
        <w:pStyle w:val="11"/>
        <w:rPr>
          <w:sz w:val="16"/>
          <w:szCs w:val="16"/>
        </w:rPr>
      </w:pPr>
      <w:r>
        <w:rPr>
          <w:sz w:val="16"/>
          <w:szCs w:val="16"/>
        </w:rPr>
      </w:r>
    </w:p>
    <w:p>
      <w:pPr>
        <w:pStyle w:val="11"/>
        <w:rPr>
          <w:sz w:val="16"/>
          <w:szCs w:val="16"/>
        </w:rPr>
      </w:pPr>
      <w:r>
        <w:rPr>
          <w:sz w:val="16"/>
          <w:szCs w:val="16"/>
        </w:rPr>
      </w:r>
    </w:p>
    <w:tbl>
      <w:tblPr>
        <w:tblW w:w="10989" w:type="dxa"/>
        <w:jc w:val="start"/>
        <w:tblInd w:w="0" w:type="dxa"/>
        <w:tblLayout w:type="fixed"/>
        <w:tblCellMar>
          <w:top w:w="0" w:type="dxa"/>
          <w:start w:w="108" w:type="dxa"/>
          <w:bottom w:w="0" w:type="dxa"/>
          <w:end w:w="108" w:type="dxa"/>
        </w:tblCellMar>
      </w:tblPr>
      <w:tblGrid>
        <w:gridCol w:w="5494"/>
        <w:gridCol w:w="5495"/>
      </w:tblGrid>
      <w:tr>
        <w:trPr/>
        <w:tc>
          <w:tcPr>
            <w:tcW w:w="5494" w:type="dxa"/>
            <w:tcBorders/>
          </w:tcPr>
          <w:p>
            <w:pPr>
              <w:pStyle w:val="11"/>
              <w:snapToGrid w:val="false"/>
              <w:rPr>
                <w:sz w:val="16"/>
                <w:szCs w:val="16"/>
                <w:lang w:val="ru-RU" w:eastAsia="ru-RU"/>
              </w:rPr>
            </w:pPr>
            <w:r>
              <w:rPr>
                <w:sz w:val="16"/>
                <w:szCs w:val="16"/>
                <w:lang w:val="ru-RU" w:eastAsia="ru-RU"/>
              </w:rPr>
            </w:r>
          </w:p>
          <w:p>
            <w:pPr>
              <w:pStyle w:val="11"/>
              <w:jc w:val="start"/>
              <w:rPr/>
            </w:pPr>
            <w:r>
              <w:rPr>
                <w:sz w:val="16"/>
                <w:szCs w:val="16"/>
                <w:lang w:val="ru-RU" w:eastAsia="ru-RU"/>
              </w:rPr>
              <w:t xml:space="preserve">с 02.02.2026   (18 недель) </w:t>
            </w:r>
          </w:p>
          <w:p>
            <w:pPr>
              <w:pStyle w:val="11"/>
              <w:jc w:val="start"/>
              <w:rPr>
                <w:sz w:val="16"/>
                <w:szCs w:val="16"/>
                <w:lang w:val="ru-RU" w:eastAsia="ru-RU"/>
              </w:rPr>
            </w:pPr>
            <w:r>
              <w:rPr>
                <w:sz w:val="16"/>
                <w:szCs w:val="16"/>
                <w:lang w:val="ru-RU" w:eastAsia="ru-RU"/>
              </w:rPr>
            </w:r>
          </w:p>
        </w:tc>
        <w:tc>
          <w:tcPr>
            <w:tcW w:w="5495" w:type="dxa"/>
            <w:tcBorders/>
          </w:tcPr>
          <w:p>
            <w:pPr>
              <w:pStyle w:val="11"/>
              <w:jc w:val="end"/>
              <w:rPr>
                <w:sz w:val="16"/>
                <w:szCs w:val="16"/>
                <w:lang w:val="ru-RU" w:eastAsia="ru-RU"/>
              </w:rPr>
            </w:pPr>
            <w:r>
              <w:rPr>
                <w:sz w:val="16"/>
                <w:szCs w:val="16"/>
                <w:lang w:val="ru-RU" w:eastAsia="ru-RU"/>
              </w:rPr>
              <w:t>У Т В Е Р Ж Д А Ю</w:t>
            </w:r>
          </w:p>
          <w:p>
            <w:pPr>
              <w:pStyle w:val="Normal"/>
              <w:spacing w:lineRule="auto" w:line="240" w:before="0" w:after="0"/>
              <w:jc w:val="end"/>
              <w:rPr>
                <w:rFonts w:ascii="Times New Roman" w:hAnsi="Times New Roman" w:cs="Times New Roman"/>
                <w:b/>
                <w:bCs/>
                <w:sz w:val="16"/>
                <w:szCs w:val="16"/>
              </w:rPr>
            </w:pPr>
            <w:r>
              <w:rPr>
                <w:rFonts w:cs="Times New Roman" w:ascii="Times New Roman" w:hAnsi="Times New Roman"/>
                <w:b/>
                <w:bCs/>
                <w:sz w:val="16"/>
                <w:szCs w:val="16"/>
              </w:rPr>
              <w:t>Проректор по образовательной деятельности</w:t>
            </w:r>
          </w:p>
          <w:p>
            <w:pPr>
              <w:pStyle w:val="11"/>
              <w:jc w:val="end"/>
              <w:rPr>
                <w:sz w:val="16"/>
                <w:szCs w:val="16"/>
                <w:lang w:val="ru-RU" w:eastAsia="ru-RU"/>
              </w:rPr>
            </w:pPr>
            <w:r>
              <w:rPr>
                <w:sz w:val="16"/>
                <w:szCs w:val="16"/>
                <w:lang w:val="ru-RU" w:eastAsia="ru-RU"/>
              </w:rPr>
              <w:t>________________И.Э.Вильданов</w:t>
            </w:r>
          </w:p>
          <w:p>
            <w:pPr>
              <w:pStyle w:val="11"/>
              <w:jc w:val="end"/>
              <w:rPr>
                <w:sz w:val="16"/>
                <w:szCs w:val="16"/>
                <w:lang w:val="ru-RU" w:eastAsia="ru-RU"/>
              </w:rPr>
            </w:pPr>
            <w:r>
              <w:rPr>
                <w:sz w:val="16"/>
                <w:szCs w:val="16"/>
                <w:lang w:val="ru-RU" w:eastAsia="ru-RU"/>
              </w:rPr>
              <w:t>“</w:t>
            </w:r>
            <w:r>
              <w:rPr>
                <w:sz w:val="16"/>
                <w:szCs w:val="16"/>
                <w:lang w:val="ru-RU" w:eastAsia="ru-RU"/>
              </w:rPr>
              <w:t>____” _______________20___ г.</w:t>
            </w:r>
          </w:p>
        </w:tc>
      </w:tr>
    </w:tbl>
    <w:p>
      <w:pPr>
        <w:pStyle w:val="11"/>
        <w:rPr>
          <w:sz w:val="16"/>
          <w:szCs w:val="16"/>
        </w:rPr>
      </w:pPr>
      <w:r>
        <w:rPr>
          <w:sz w:val="16"/>
          <w:szCs w:val="16"/>
        </w:rPr>
        <w:t>Р А С П И С А Н И Е</w:t>
      </w:r>
    </w:p>
    <w:p>
      <w:pPr>
        <w:pStyle w:val="11"/>
        <w:rPr>
          <w:sz w:val="16"/>
          <w:szCs w:val="16"/>
          <w:u w:val="single"/>
        </w:rPr>
      </w:pPr>
      <w:r>
        <w:rPr>
          <w:sz w:val="16"/>
          <w:szCs w:val="16"/>
        </w:rPr>
        <w:t xml:space="preserve">учебных  занятий  для студентов  2  курса  </w:t>
      </w:r>
      <w:r>
        <w:rPr>
          <w:sz w:val="16"/>
          <w:szCs w:val="16"/>
          <w:u w:val="single"/>
        </w:rPr>
        <w:t>Института Архитектуры и дизайна</w:t>
      </w:r>
    </w:p>
    <w:p>
      <w:pPr>
        <w:pStyle w:val="11"/>
        <w:rPr>
          <w:sz w:val="16"/>
          <w:szCs w:val="16"/>
        </w:rPr>
      </w:pPr>
      <w:r>
        <w:rPr>
          <w:sz w:val="16"/>
          <w:szCs w:val="16"/>
        </w:rPr>
        <w:t>направление подготовки 07.03.03Дизайн архитектурной среды</w:t>
      </w:r>
    </w:p>
    <w:p>
      <w:pPr>
        <w:pStyle w:val="11"/>
        <w:rPr>
          <w:sz w:val="16"/>
          <w:szCs w:val="16"/>
        </w:rPr>
      </w:pPr>
      <w:r>
        <w:rPr>
          <w:sz w:val="16"/>
          <w:szCs w:val="16"/>
        </w:rPr>
        <w:t>направленность (профиль) «</w:t>
      </w:r>
      <w:r>
        <w:rPr>
          <w:sz w:val="16"/>
          <w:szCs w:val="16"/>
          <w:u w:val="single"/>
        </w:rPr>
        <w:t>Проектирование интерьеров</w:t>
      </w:r>
      <w:r>
        <w:rPr>
          <w:sz w:val="16"/>
          <w:szCs w:val="16"/>
        </w:rPr>
        <w:t>»</w:t>
      </w:r>
    </w:p>
    <w:p>
      <w:pPr>
        <w:pStyle w:val="11"/>
        <w:rPr>
          <w:sz w:val="16"/>
          <w:szCs w:val="16"/>
        </w:rPr>
      </w:pPr>
      <w:r>
        <w:rPr>
          <w:sz w:val="16"/>
          <w:szCs w:val="16"/>
        </w:rPr>
        <w:t>на весенний семестр  2025 / 2026 учебного года</w:t>
      </w:r>
    </w:p>
    <w:tbl>
      <w:tblPr>
        <w:tblW w:w="5000" w:type="pct"/>
        <w:jc w:val="start"/>
        <w:tblInd w:w="-5" w:type="dxa"/>
        <w:tblLayout w:type="fixed"/>
        <w:tblCellMar>
          <w:top w:w="0" w:type="dxa"/>
          <w:start w:w="0" w:type="dxa"/>
          <w:bottom w:w="0" w:type="dxa"/>
          <w:end w:w="0" w:type="dxa"/>
        </w:tblCellMar>
      </w:tblPr>
      <w:tblGrid>
        <w:gridCol w:w="853"/>
        <w:gridCol w:w="851"/>
        <w:gridCol w:w="849"/>
        <w:gridCol w:w="1275"/>
        <w:gridCol w:w="6944"/>
      </w:tblGrid>
      <w:tr>
        <w:trPr>
          <w:trHeight w:val="382" w:hRule="atLeast"/>
          <w:cantSplit w:val="true"/>
        </w:trPr>
        <w:tc>
          <w:tcPr>
            <w:tcW w:w="853" w:type="dxa"/>
            <w:tcBorders>
              <w:top w:val="single" w:sz="8" w:space="0" w:color="000000"/>
              <w:start w:val="single" w:sz="8"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Дата</w:t>
            </w:r>
          </w:p>
        </w:tc>
        <w:tc>
          <w:tcPr>
            <w:tcW w:w="851"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Номер</w:t>
            </w:r>
          </w:p>
        </w:tc>
        <w:tc>
          <w:tcPr>
            <w:tcW w:w="84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Неделя</w:t>
            </w:r>
          </w:p>
        </w:tc>
        <w:tc>
          <w:tcPr>
            <w:tcW w:w="1275"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Время</w:t>
            </w:r>
          </w:p>
        </w:tc>
        <w:tc>
          <w:tcPr>
            <w:tcW w:w="6944" w:type="dxa"/>
            <w:tcBorders>
              <w:top w:val="single" w:sz="8"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2</w:t>
            </w:r>
            <w:r>
              <w:rPr>
                <w:rFonts w:cs="Times New Roman" w:ascii="Times New Roman" w:hAnsi="Times New Roman"/>
                <w:sz w:val="14"/>
                <w:szCs w:val="14"/>
                <w:lang w:val="en-US"/>
              </w:rPr>
              <w:t>4</w:t>
            </w:r>
            <w:r>
              <w:rPr>
                <w:rFonts w:cs="Times New Roman" w:ascii="Times New Roman" w:hAnsi="Times New Roman"/>
                <w:sz w:val="14"/>
                <w:szCs w:val="14"/>
              </w:rPr>
              <w:t>ИП01</w:t>
            </w:r>
          </w:p>
        </w:tc>
      </w:tr>
      <w:tr>
        <w:trPr>
          <w:trHeight w:val="23" w:hRule="atLeast"/>
          <w:cantSplit w:val="true"/>
        </w:trPr>
        <w:tc>
          <w:tcPr>
            <w:tcW w:w="853" w:type="dxa"/>
            <w:vMerge w:val="restart"/>
            <w:tcBorders>
              <w:top w:val="single" w:sz="4"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Понедельник</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t>Компьютерное моделирование (Практические) ст. преп. Егоров Д. А. 4-311</w:t>
            </w:r>
          </w:p>
        </w:tc>
      </w:tr>
      <w:tr>
        <w:trPr>
          <w:trHeight w:val="23" w:hRule="atLeast"/>
          <w:cantSplit w:val="true"/>
        </w:trPr>
        <w:tc>
          <w:tcPr>
            <w:tcW w:w="85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6"/>
                <w:szCs w:val="16"/>
              </w:rPr>
              <w:t>Компьютерное моделирование (Практические) ст. преп. Егоров Д. А. 4-311</w:t>
            </w:r>
          </w:p>
        </w:tc>
      </w:tr>
      <w:tr>
        <w:trPr>
          <w:trHeight w:val="23" w:hRule="atLeast"/>
          <w:cantSplit w:val="true"/>
        </w:trPr>
        <w:tc>
          <w:tcPr>
            <w:tcW w:w="85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6"/>
                <w:szCs w:val="16"/>
              </w:rPr>
              <w:t>Компьютерное моделирование (Практические) ст. преп. Егоров Д. А. 4-311</w:t>
            </w:r>
          </w:p>
        </w:tc>
      </w:tr>
      <w:tr>
        <w:trPr>
          <w:trHeight w:val="23" w:hRule="atLeast"/>
          <w:cantSplit w:val="true"/>
        </w:trPr>
        <w:tc>
          <w:tcPr>
            <w:tcW w:w="85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color w:val="000000"/>
                <w:sz w:val="14"/>
                <w:szCs w:val="14"/>
              </w:rPr>
              <w:t>Архитектурно-дизайнерское проектирование (1 уровень) (Практические)</w:t>
            </w:r>
          </w:p>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ст. преп. Элхани И.К., ст.преп. Давлетбаев А.А. 10-403</w:t>
            </w:r>
          </w:p>
        </w:tc>
      </w:tr>
      <w:tr>
        <w:trPr>
          <w:trHeight w:val="23" w:hRule="atLeast"/>
          <w:cantSplit w:val="true"/>
        </w:trPr>
        <w:tc>
          <w:tcPr>
            <w:tcW w:w="85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color w:val="000000"/>
                <w:sz w:val="14"/>
                <w:szCs w:val="14"/>
              </w:rPr>
              <w:t>Архитектурно-дизайнерское проектирование (1 уровень) (Практические)</w:t>
            </w:r>
          </w:p>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ст. преп. Элхани И.К., ст.преп. Давлетбаев А.А. 10-403</w:t>
            </w:r>
          </w:p>
        </w:tc>
      </w:tr>
      <w:tr>
        <w:trPr>
          <w:trHeight w:val="23" w:hRule="atLeast"/>
          <w:cantSplit w:val="true"/>
        </w:trPr>
        <w:tc>
          <w:tcPr>
            <w:tcW w:w="85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color w:val="000000"/>
                <w:sz w:val="14"/>
                <w:szCs w:val="14"/>
              </w:rPr>
              <w:t>Архитектурно-дизайнерское проектирование (1 уровень) (Практические)</w:t>
            </w:r>
          </w:p>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ст. преп. Элхани И.К., ст.преп. Давлетбаев А.А. 10-403</w:t>
            </w:r>
          </w:p>
        </w:tc>
      </w:tr>
      <w:tr>
        <w:trPr>
          <w:trHeight w:val="23" w:hRule="atLeast"/>
          <w:cantSplit w:val="true"/>
        </w:trPr>
        <w:tc>
          <w:tcPr>
            <w:tcW w:w="85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color w:val="000000"/>
                <w:sz w:val="14"/>
                <w:szCs w:val="14"/>
              </w:rPr>
              <w:t>Архитектурно-дизайнерское проектирование (1 уровень) (Практические)</w:t>
            </w:r>
          </w:p>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ст. преп. Элхани И.К., ст.преп. Давлетбаев А.А. 10-403</w:t>
            </w:r>
          </w:p>
        </w:tc>
      </w:tr>
      <w:tr>
        <w:trPr>
          <w:trHeight w:val="23" w:hRule="atLeast"/>
          <w:cantSplit w:val="true"/>
        </w:trPr>
        <w:tc>
          <w:tcPr>
            <w:tcW w:w="853"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r>
      <w:tr>
        <w:trPr>
          <w:trHeight w:val="23" w:hRule="atLeast"/>
          <w:cantSplit w:val="true"/>
        </w:trPr>
        <w:tc>
          <w:tcPr>
            <w:tcW w:w="853"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Вторник</w:t>
            </w:r>
          </w:p>
        </w:tc>
        <w:tc>
          <w:tcPr>
            <w:tcW w:w="851"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4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944"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Композиционное моделирование (Практические) ст. преп. Саляхутдинов Р. Н. 10-512</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Композиционное моделирование (Практические) ст. преп. Саляхутдинов Р. Н. 10-512</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Композиционное моделирование (Практические) ст. преп. Саляхутдинов Р. Н. 10-512</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Живопись (Практические) проф. Айдаров Р. С.4-219</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Живопись (Практические) проф. Айдаров Р. С.4-219</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Живопись (Практические) проф. Айдаров Р. С.4-219</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8"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Живопись (Практические) проф. Айдаров Р. С.4-219</w:t>
            </w:r>
          </w:p>
        </w:tc>
      </w:tr>
      <w:tr>
        <w:trPr>
          <w:trHeight w:val="23" w:hRule="atLeast"/>
          <w:cantSplit w:val="true"/>
        </w:trPr>
        <w:tc>
          <w:tcPr>
            <w:tcW w:w="853"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Среда</w:t>
            </w:r>
          </w:p>
        </w:tc>
        <w:tc>
          <w:tcPr>
            <w:tcW w:w="851"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4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944"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Рисунок (Практические) доц. Ахметзянов В. Г.4-313</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Рисунок (Практические) доц. Ахметзянов В. Г.4-313</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Рисунок (Практические) доц. Ахметзянов В. Г.4-313</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Рисунок (Практические) доц. Ахметзянов В. Г.4-313</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История  искусств и архитектуры (Лекции) доц. Ибрагимова А. Ф. 10-502</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8" w:space="0" w:color="000000"/>
              <w:end w:val="single" w:sz="8" w:space="0" w:color="000000"/>
            </w:tcBorders>
            <w:vAlign w:val="center"/>
          </w:tcPr>
          <w:p>
            <w:pPr>
              <w:pStyle w:val="Normal"/>
              <w:spacing w:before="0" w:after="0"/>
              <w:jc w:val="center"/>
              <w:rPr/>
            </w:pPr>
            <w:r>
              <w:rPr>
                <w:rFonts w:cs="Times New Roman" w:ascii="Times New Roman" w:hAnsi="Times New Roman"/>
                <w:sz w:val="14"/>
                <w:szCs w:val="14"/>
              </w:rPr>
              <w:t>История  искусств и архитектуры (Лекции) доц. Ибрагимова А. Ф. 10-502</w:t>
            </w:r>
          </w:p>
        </w:tc>
      </w:tr>
      <w:tr>
        <w:trPr>
          <w:trHeight w:val="23" w:hRule="atLeast"/>
          <w:cantSplit w:val="true"/>
        </w:trPr>
        <w:tc>
          <w:tcPr>
            <w:tcW w:w="853"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Четверг</w:t>
            </w:r>
          </w:p>
        </w:tc>
        <w:tc>
          <w:tcPr>
            <w:tcW w:w="851"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44"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(1 уровень) (Практические)</w:t>
            </w:r>
          </w:p>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ст. преп. Элхани И.К., ст.преп. Давлетбаев А.А. 10-403</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(1 уровень) (Практические)</w:t>
            </w:r>
          </w:p>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ст. преп. Элхани И.К., ст.преп. Давлетбаев А.А. 10-403</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(1 уровень) (Практические)</w:t>
            </w:r>
          </w:p>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ст. преп. Элхани И.К., ст.преп. Давлетбаев А.А. 10-403</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8" w:space="0" w:color="000000"/>
              <w:end w:val="single" w:sz="8" w:space="0" w:color="000000"/>
            </w:tcBorders>
            <w:vAlign w:val="center"/>
          </w:tcPr>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(1 уровень) (Практические)</w:t>
            </w:r>
          </w:p>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ст. преп. Элхани И.К., ст.преп. Давлетбаев А.А. 10-403</w:t>
            </w:r>
          </w:p>
        </w:tc>
      </w:tr>
      <w:tr>
        <w:trPr>
          <w:trHeight w:val="23" w:hRule="atLeast"/>
          <w:cantSplit w:val="true"/>
        </w:trPr>
        <w:tc>
          <w:tcPr>
            <w:tcW w:w="853"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Пятница</w:t>
            </w:r>
          </w:p>
        </w:tc>
        <w:tc>
          <w:tcPr>
            <w:tcW w:w="851"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4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944"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Теоретическая механика (Практические) доц. Хайруллин Л. Р.4-412</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Теоретическая механика (Практические) доц. Хайруллин Л. Р.4-412</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Теоретическая механика (Лекции) доц. Хайруллин Л. Р.2-201</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pPr>
            <w:r>
              <w:rPr>
                <w:rFonts w:cs="Times New Roman" w:ascii="Times New Roman" w:hAnsi="Times New Roman"/>
                <w:sz w:val="16"/>
                <w:szCs w:val="16"/>
              </w:rPr>
              <w:t>Теоретическая механика (Лекции) доц. Хайруллин Л. Р.2-201</w:t>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3"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3" w:type="dxa"/>
            <w:vMerge w:val="restart"/>
            <w:tcBorders>
              <w:top w:val="single" w:sz="8" w:space="0" w:color="000000"/>
              <w:start w:val="single" w:sz="8"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Суббота</w:t>
            </w:r>
          </w:p>
        </w:tc>
        <w:tc>
          <w:tcPr>
            <w:tcW w:w="851" w:type="dxa"/>
            <w:vMerge w:val="restart"/>
            <w:tcBorders>
              <w:top w:val="single" w:sz="8"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84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8"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944" w:type="dxa"/>
            <w:tcBorders>
              <w:top w:val="single" w:sz="8"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28.03. , 11.04., 25.04.  Основы искусственного интеллекта (Лекции) доц. Мокшин В. В. «Форум»</w:t>
            </w:r>
          </w:p>
        </w:tc>
      </w:tr>
      <w:tr>
        <w:trPr>
          <w:trHeight w:val="23" w:hRule="atLeast"/>
          <w:cantSplit w:val="true"/>
        </w:trPr>
        <w:tc>
          <w:tcPr>
            <w:tcW w:w="85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8"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8"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275"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944"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28.03. , 11.04., 25.04.  Основы искусственного интеллекта (Лекции) доц. Мокшин В. В. «Форум»</w:t>
            </w:r>
          </w:p>
        </w:tc>
      </w:tr>
      <w:tr>
        <w:trPr>
          <w:trHeight w:val="23" w:hRule="atLeast"/>
          <w:cantSplit w:val="true"/>
        </w:trPr>
        <w:tc>
          <w:tcPr>
            <w:tcW w:w="853" w:type="dxa"/>
            <w:vMerge w:val="continue"/>
            <w:tcBorders>
              <w:top w:val="single" w:sz="8"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51"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849"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275"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944"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bl>
    <w:p>
      <w:pPr>
        <w:pStyle w:val="Normal"/>
        <w:jc w:val="center"/>
        <w:rPr/>
      </w:pPr>
      <w:r>
        <w:rPr>
          <w:rFonts w:cs="Times New Roman" w:ascii="Times New Roman" w:hAnsi="Times New Roman"/>
          <w:sz w:val="16"/>
          <w:szCs w:val="16"/>
        </w:rPr>
        <w:t xml:space="preserve">Р А З Р А Б О Т А Н О:                                                                                               </w:t>
      </w:r>
      <w:r>
        <w:rPr/>
        <w:t>С О Г Л А С О В А Н О:</w:t>
      </w:r>
    </w:p>
    <w:tbl>
      <w:tblPr>
        <w:tblW w:w="10802" w:type="dxa"/>
        <w:jc w:val="start"/>
        <w:tblInd w:w="0" w:type="dxa"/>
        <w:tblLayout w:type="fixed"/>
        <w:tblCellMar>
          <w:top w:w="0" w:type="dxa"/>
          <w:start w:w="108" w:type="dxa"/>
          <w:bottom w:w="0" w:type="dxa"/>
          <w:end w:w="108" w:type="dxa"/>
        </w:tblCellMar>
      </w:tblPr>
      <w:tblGrid>
        <w:gridCol w:w="3460"/>
        <w:gridCol w:w="284"/>
        <w:gridCol w:w="3456"/>
        <w:gridCol w:w="311"/>
        <w:gridCol w:w="3291"/>
      </w:tblGrid>
      <w:tr>
        <w:trPr>
          <w:trHeight w:val="733" w:hRule="atLeast"/>
        </w:trPr>
        <w:tc>
          <w:tcPr>
            <w:tcW w:w="3460"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А.А. Хамидуллина /</w:t>
            </w:r>
          </w:p>
        </w:tc>
        <w:tc>
          <w:tcPr>
            <w:tcW w:w="284" w:type="dxa"/>
            <w:tcBorders/>
          </w:tcPr>
          <w:p>
            <w:pPr>
              <w:pStyle w:val="Normal"/>
              <w:snapToGrid w:val="false"/>
              <w:spacing w:before="20" w:after="20"/>
              <w:rPr>
                <w:rFonts w:ascii="Times New Roman" w:hAnsi="Times New Roman" w:cs="Times New Roman"/>
                <w:sz w:val="16"/>
                <w:szCs w:val="16"/>
              </w:rPr>
            </w:pPr>
            <w:r>
              <w:rPr>
                <w:rFonts w:cs="Times New Roman" w:ascii="Times New Roman" w:hAnsi="Times New Roman"/>
                <w:sz w:val="16"/>
                <w:szCs w:val="16"/>
              </w:rPr>
            </w:r>
          </w:p>
        </w:tc>
        <w:tc>
          <w:tcPr>
            <w:tcW w:w="3456"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И.В. Колесникова /</w:t>
            </w:r>
          </w:p>
        </w:tc>
        <w:tc>
          <w:tcPr>
            <w:tcW w:w="311" w:type="dxa"/>
            <w:tcBorders/>
          </w:tcPr>
          <w:p>
            <w:pPr>
              <w:pStyle w:val="Normal"/>
              <w:snapToGrid w:val="false"/>
              <w:spacing w:before="20" w:after="20"/>
              <w:jc w:val="center"/>
              <w:rPr>
                <w:rFonts w:ascii="Times New Roman" w:hAnsi="Times New Roman" w:cs="Times New Roman"/>
                <w:sz w:val="16"/>
                <w:szCs w:val="16"/>
              </w:rPr>
            </w:pPr>
            <w:r>
              <w:rPr>
                <w:rFonts w:cs="Times New Roman" w:ascii="Times New Roman" w:hAnsi="Times New Roman"/>
                <w:sz w:val="16"/>
                <w:szCs w:val="16"/>
              </w:rPr>
            </w:r>
          </w:p>
        </w:tc>
        <w:tc>
          <w:tcPr>
            <w:tcW w:w="3291"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Директор ИАиД</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_________________ / А.И. Романова/</w:t>
            </w:r>
          </w:p>
        </w:tc>
      </w:tr>
    </w:tbl>
    <w:p>
      <w:pPr>
        <w:pStyle w:val="Normal"/>
        <w:rPr/>
      </w:pPr>
      <w:r>
        <w:rPr/>
      </w:r>
    </w:p>
    <w:p>
      <w:pPr>
        <w:pStyle w:val="Normal"/>
        <w:spacing w:before="0" w:after="200"/>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Calibri"/>
      <w:color w:val="auto"/>
      <w:sz w:val="22"/>
      <w:szCs w:val="22"/>
      <w:lang w:val="ru-RU" w:bidi="ar-SA" w:eastAsia="zh-CN"/>
    </w:rPr>
  </w:style>
  <w:style w:type="character" w:styleId="Style14">
    <w:name w:val="Основной шрифт абзаца"/>
    <w:qFormat/>
    <w:rPr/>
  </w:style>
  <w:style w:type="character" w:styleId="1">
    <w:name w:val="Стиль1 МОЙ Знак"/>
    <w:qFormat/>
    <w:rPr>
      <w:rFonts w:ascii="Times New Roman" w:hAnsi="Times New Roman" w:cs="Times New Roman"/>
      <w:b/>
      <w:bCs/>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11">
    <w:name w:val="Стиль1 МОЙ"/>
    <w:basedOn w:val="Normal"/>
    <w:qFormat/>
    <w:pPr>
      <w:spacing w:lineRule="auto" w:line="240" w:before="0" w:after="0"/>
      <w:jc w:val="center"/>
    </w:pPr>
    <w:rPr>
      <w:rFonts w:ascii="Times New Roman" w:hAnsi="Times New Roman" w:cs="Times New Roman"/>
      <w:b/>
      <w:bCs/>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2026-01-27T06:55:00Z</dcterms:created>
  <dc:creator>radin</dc:creator>
  <dc:description/>
  <dc:language>en-US</dc:language>
  <cp:lastModifiedBy>umuolga</cp:lastModifiedBy>
  <cp:lastPrinted>2026-01-22T14:14:00Z</cp:lastPrinted>
  <dcterms:modified xsi:type="dcterms:W3CDTF">2026-01-27T06:55:00Z</dcterms:modified>
  <cp:revision>2</cp:revision>
  <dc:subject/>
  <dc:title>КАЗАНСКИЙ  ГОСУДАРСТВЕННЫЙ  АРХИТЕКТУРНО-СТРОИТЕЛЬНЫЙ  УНИВЕРСИТЕТ</dc:title>
</cp:coreProperties>
</file>