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11"/>
              <w:snapToGrid w:val="false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</w:r>
          </w:p>
          <w:p>
            <w:pPr>
              <w:pStyle w:val="11"/>
              <w:jc w:val="start"/>
              <w:rPr/>
            </w:pPr>
            <w:r>
              <w:rPr>
                <w:sz w:val="16"/>
                <w:szCs w:val="16"/>
                <w:lang w:val="ru-RU" w:eastAsia="ru-RU"/>
              </w:rPr>
              <w:t xml:space="preserve">с 02.02.2026   (18 недель) </w:t>
            </w:r>
          </w:p>
          <w:p>
            <w:pPr>
              <w:pStyle w:val="11"/>
              <w:jc w:val="start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</w:r>
          </w:p>
        </w:tc>
        <w:tc>
          <w:tcPr>
            <w:tcW w:w="5495" w:type="dxa"/>
            <w:tcBorders/>
          </w:tcPr>
          <w:p>
            <w:pPr>
              <w:pStyle w:val="11"/>
              <w:jc w:val="end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У Т В Е Р Ж Д А Ю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>
            <w:pPr>
              <w:pStyle w:val="11"/>
              <w:jc w:val="end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________________И.Э.Вильданов</w:t>
            </w:r>
          </w:p>
          <w:p>
            <w:pPr>
              <w:pStyle w:val="11"/>
              <w:jc w:val="end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“</w:t>
            </w:r>
            <w:r>
              <w:rPr>
                <w:sz w:val="16"/>
                <w:szCs w:val="16"/>
                <w:lang w:val="ru-RU" w:eastAsia="ru-RU"/>
              </w:rPr>
              <w:t>____” _______________20___ г.</w:t>
            </w:r>
          </w:p>
        </w:tc>
      </w:tr>
    </w:tbl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07.03.03Дизайн архитектурной среды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Проектирование интерьеров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на весенний семестр  2025 / 2026 учебного года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0"/>
        <w:gridCol w:w="597"/>
        <w:gridCol w:w="655"/>
        <w:gridCol w:w="1390"/>
        <w:gridCol w:w="7470"/>
      </w:tblGrid>
      <w:tr>
        <w:trPr>
          <w:trHeight w:val="334" w:hRule="atLeast"/>
          <w:cantSplit w:val="true"/>
        </w:trPr>
        <w:tc>
          <w:tcPr>
            <w:tcW w:w="66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65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39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747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2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ИП01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Отделочные материалы в проектировании интерьера (Лекции) ст. преп. Хуснутдинова Л.Р.10-502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Отделочные материалы в проектировании интерьера (Лекции) ст. преп.  Хуснутдинова Л.Р.10-502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Отделочные материалы в проектировании интерьера (практические) ст. преп. Хуснутдинова Л.Р.10-502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Отделочные материалы в проектировании интерьера (практические) ст. преп. Хуснутдинова Л.Р.10-502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47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и история дизайна интерьера (Лекции)  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и история дизайна интерьера (Лекции)  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ind w:firstLine="113" w:end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школы дизайна интерьера (Лекции)  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ind w:firstLine="113" w:end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школы дизайна интерьера (Лекции)  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Инженерно-технологическое обеспечение архитектурно-дизайнерских решений (Практические) доц.  Хафизов Р. Р. 10-207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113" w:end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113" w:end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47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Система специализации и инженерного оборудования в интерьере (Практические)</w:t>
            </w:r>
          </w:p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Система специализации и инженерного оборудования в интерьере (Лекции)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в интерьере (Практические)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в интерьере (Лекции) проф.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Инженерно-технологическое обеспечение архитектурно-дизайнерских решений (Лекции)</w:t>
              <w:br/>
              <w:t>доц. Хафизов Р. Р.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в интерьере (Практические)   проф.  Кулеева Л. М.  10-504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47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Светозвуковая среда интерьера (Практические) доц. Бурова Т. Ю. 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Светозвуковая среда интерьера (Практические) доц. Бурова Т. Ю. 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Светозвуковая среда интерьера (Лекции) доц. Бурова Т. Ю.  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Свет и цвет в городе лекции) доц. Бурова Т. Ю. 10-502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Бурова Т. Ю.   10-304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47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7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         </w:t>
      </w:r>
      <w:r>
        <w:rPr/>
        <w:t>С О Г Л А С О В А Н О:</w:t>
      </w:r>
    </w:p>
    <w:tbl>
      <w:tblPr>
        <w:tblW w:w="108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60"/>
        <w:gridCol w:w="284"/>
        <w:gridCol w:w="3456"/>
        <w:gridCol w:w="311"/>
        <w:gridCol w:w="3291"/>
      </w:tblGrid>
      <w:tr>
        <w:trPr>
          <w:trHeight w:val="733" w:hRule="atLeast"/>
        </w:trPr>
        <w:tc>
          <w:tcPr>
            <w:tcW w:w="3460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91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2026-01-28T12:59:00Z</dcterms:created>
  <dc:creator>1</dc:creator>
  <dc:description/>
  <dc:language>en-US</dc:language>
  <cp:lastModifiedBy>umuolga</cp:lastModifiedBy>
  <cp:lastPrinted>2026-01-26T11:41:00Z</cp:lastPrinted>
  <dcterms:modified xsi:type="dcterms:W3CDTF">2026-01-28T12:59:00Z</dcterms:modified>
  <cp:revision>2</cp:revision>
  <dc:subject/>
  <dc:title>КАЗАНСКИЙ  ГОСУДАРСТВЕННЫЙ  АРХИТЕКТУРНО-СТРОИТЕЛЬНЫЙ  УНИВЕРСИТЕТ</dc:title>
</cp:coreProperties>
</file>