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GNS 311 ASSIGNMENT </w:t>
      </w:r>
    </w:p>
    <w:p w:rsidR="00000000" w:rsidDel="00000000" w:rsidP="00000000" w:rsidRDefault="00000000" w:rsidRPr="00000000" w14:paraId="00000002">
      <w:pPr>
        <w:rPr/>
      </w:pPr>
      <w:r w:rsidDel="00000000" w:rsidR="00000000" w:rsidRPr="00000000">
        <w:rPr>
          <w:b w:val="1"/>
          <w:bCs w:val="1"/>
          <w:rtl w:val="0"/>
        </w:rPr>
        <w:t xml:space="preserve">Name: </w:t>
      </w:r>
      <w:r w:rsidDel="00000000" w:rsidR="00000000" w:rsidRPr="00000000">
        <w:rPr>
          <w:rtl w:val="0"/>
        </w:rPr>
        <w:t xml:space="preserve">Timothy Chinonso Prince</w:t>
      </w:r>
    </w:p>
    <w:p w:rsidR="00000000" w:rsidDel="00000000" w:rsidP="00000000" w:rsidRDefault="00000000" w:rsidRPr="00000000" w14:paraId="00000003">
      <w:pPr>
        <w:rPr/>
      </w:pPr>
      <w:r w:rsidDel="00000000" w:rsidR="00000000" w:rsidRPr="00000000">
        <w:rPr>
          <w:b w:val="1"/>
          <w:bCs w:val="1"/>
          <w:rtl w:val="0"/>
        </w:rPr>
        <w:t xml:space="preserve">Matric no: </w:t>
      </w:r>
      <w:r w:rsidDel="00000000" w:rsidR="00000000" w:rsidRPr="00000000">
        <w:rPr>
          <w:rtl w:val="0"/>
        </w:rPr>
        <w:t xml:space="preserve">N/A</w:t>
      </w:r>
    </w:p>
    <w:p w:rsidR="00000000" w:rsidDel="00000000" w:rsidP="00000000" w:rsidRDefault="00000000" w:rsidRPr="00000000" w14:paraId="00000004">
      <w:pPr>
        <w:rPr/>
      </w:pPr>
      <w:r w:rsidDel="00000000" w:rsidR="00000000" w:rsidRPr="00000000">
        <w:rPr>
          <w:b w:val="1"/>
          <w:bCs w:val="1"/>
          <w:rtl w:val="0"/>
        </w:rPr>
        <w:t xml:space="preserve">Date: </w:t>
      </w:r>
      <w:r w:rsidDel="00000000" w:rsidR="00000000" w:rsidRPr="00000000">
        <w:rPr>
          <w:rtl w:val="0"/>
        </w:rPr>
        <w:t xml:space="preserve">03/05/26</w:t>
      </w:r>
    </w:p>
    <w:p w:rsidR="00000000" w:rsidDel="00000000" w:rsidP="00000000" w:rsidRDefault="00000000" w:rsidRPr="00000000" w14:paraId="00000005">
      <w:pPr>
        <w:rPr>
          <w:b w:val="1"/>
          <w:bCs w:val="1"/>
        </w:rPr>
      </w:pPr>
      <w:r w:rsidDel="00000000" w:rsidR="00000000" w:rsidRPr="00000000">
        <w:rPr>
          <w:b w:val="1"/>
          <w:bCs w:val="1"/>
          <w:rtl w:val="0"/>
        </w:rPr>
        <w:t xml:space="preserve">Sign:</w:t>
      </w:r>
    </w:p>
    <w:p w:rsidR="00000000" w:rsidDel="00000000" w:rsidP="00000000" w:rsidRDefault="00000000" w:rsidRPr="00000000" w14:paraId="00000006">
      <w:pPr>
        <w:rPr/>
      </w:pPr>
      <w:r w:rsidDel="00000000" w:rsidR="00000000" w:rsidRPr="00000000">
        <w:rPr>
          <w:b w:val="1"/>
          <w:bCs w:val="1"/>
          <w:rtl w:val="0"/>
        </w:rPr>
        <w:t xml:space="preserve">Course: </w:t>
      </w:r>
      <w:r w:rsidDel="00000000" w:rsidR="00000000" w:rsidRPr="00000000">
        <w:rPr>
          <w:rtl w:val="0"/>
        </w:rPr>
        <w:t xml:space="preserve">Engineers In Society </w:t>
      </w:r>
    </w:p>
    <w:p w:rsidR="00000000" w:rsidDel="00000000" w:rsidP="00000000" w:rsidRDefault="00000000" w:rsidRPr="00000000" w14:paraId="00000007">
      <w:pPr>
        <w:rPr/>
      </w:pPr>
      <w:r w:rsidDel="00000000" w:rsidR="00000000" w:rsidRPr="00000000">
        <w:rPr>
          <w:b w:val="1"/>
          <w:bCs w:val="1"/>
          <w:rtl w:val="0"/>
        </w:rPr>
        <w:t xml:space="preserve">Code: </w:t>
      </w:r>
      <w:r w:rsidDel="00000000" w:rsidR="00000000" w:rsidRPr="00000000">
        <w:rPr>
          <w:rtl w:val="0"/>
        </w:rPr>
        <w:t xml:space="preserve">GNS 311</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Engineers may serve without charge as part of their contribution to society and professional responsibility. However, it depends on the nature of the work. If the task requires significant time, expertise, or resources, it is reasonable for engineers to be compensated. The key is to maintain integrity and avoid exploitation.</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Reaction if a client abandons professional advice for non-professional ideas:</w:t>
      </w:r>
    </w:p>
    <w:p w:rsidR="00000000" w:rsidDel="00000000" w:rsidP="00000000" w:rsidRDefault="00000000" w:rsidRPr="00000000" w14:paraId="0000000D">
      <w:pPr>
        <w:numPr>
          <w:ilvl w:val="0"/>
          <w:numId w:val="4"/>
        </w:numPr>
        <w:ind w:left="1440" w:hanging="360"/>
        <w:rPr>
          <w:u w:val="none"/>
        </w:rPr>
      </w:pPr>
      <w:r w:rsidDel="00000000" w:rsidR="00000000" w:rsidRPr="00000000">
        <w:rPr>
          <w:rtl w:val="0"/>
        </w:rPr>
        <w:t xml:space="preserve">I would clearly explain the risks, safety implications, and possible consequences of ignoring professional advice. If the client insists, I would document my recommendations and may withdraw from the project to avoid being associated with unsafe or unethical practices.</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Ethical issues with lecturers engaging in private consultancy:</w:t>
      </w:r>
    </w:p>
    <w:p w:rsidR="00000000" w:rsidDel="00000000" w:rsidP="00000000" w:rsidRDefault="00000000" w:rsidRPr="00000000" w14:paraId="00000010">
      <w:pPr>
        <w:numPr>
          <w:ilvl w:val="0"/>
          <w:numId w:val="1"/>
        </w:numPr>
        <w:ind w:left="1440" w:hanging="360"/>
        <w:rPr>
          <w:u w:val="none"/>
        </w:rPr>
      </w:pPr>
      <w:r w:rsidDel="00000000" w:rsidR="00000000" w:rsidRPr="00000000">
        <w:rPr>
          <w:rtl w:val="0"/>
        </w:rPr>
        <w:t xml:space="preserve">Conflict of interest between academic duties and private work.</w:t>
      </w:r>
    </w:p>
    <w:p w:rsidR="00000000" w:rsidDel="00000000" w:rsidP="00000000" w:rsidRDefault="00000000" w:rsidRPr="00000000" w14:paraId="00000011">
      <w:pPr>
        <w:numPr>
          <w:ilvl w:val="0"/>
          <w:numId w:val="1"/>
        </w:numPr>
        <w:ind w:left="1440" w:hanging="360"/>
        <w:rPr>
          <w:u w:val="none"/>
        </w:rPr>
      </w:pPr>
      <w:r w:rsidDel="00000000" w:rsidR="00000000" w:rsidRPr="00000000">
        <w:rPr>
          <w:rtl w:val="0"/>
        </w:rPr>
        <w:t xml:space="preserve">Misuse of institutional resources</w:t>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Divided attention affecting teaching quality.</w:t>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Unfair advantage over other professionals.</w:t>
      </w:r>
    </w:p>
    <w:p w:rsidR="00000000" w:rsidDel="00000000" w:rsidP="00000000" w:rsidRDefault="00000000" w:rsidRPr="00000000" w14:paraId="00000014">
      <w:pPr>
        <w:numPr>
          <w:ilvl w:val="0"/>
          <w:numId w:val="1"/>
        </w:numPr>
        <w:ind w:left="1440" w:hanging="360"/>
        <w:rPr>
          <w:u w:val="none"/>
        </w:rPr>
      </w:pPr>
      <w:r w:rsidDel="00000000" w:rsidR="00000000" w:rsidRPr="00000000">
        <w:rPr>
          <w:rtl w:val="0"/>
        </w:rPr>
        <w:t xml:space="preserve">Lecturers must ensure transparency, avoid conflicts, and prioritise their primary responsibilities.</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A registered engineer should report the illegal activity to the appropriate regulatory body (e.g., an engineering council like COREN). They should avoid participating in such practices and uphold professional standards to protect public safety.</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Will the court entertain a case by an unregistered graduate engineer?</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No. Since the graduate engineer is not legally registered, he is not recognised to practise professionally. Therefore, the court is unlikely to entertain the case, as the services rendered are not legally valid under professional regulations.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