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CLEAN WATER AND SANITISATION ERD</w:t>
      </w:r>
    </w:p>
    <w:p>
      <w:r>
        <w:drawing>
          <wp:inline distT="0" distB="0" distL="114300" distR="114300">
            <wp:extent cx="5269230" cy="3659505"/>
            <wp:effectExtent l="0" t="0" r="762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u w:val="single"/>
          <w:lang w:val="en-US"/>
        </w:rPr>
        <w:t>Explanation:</w:t>
      </w:r>
    </w:p>
    <w:p>
      <w:pPr>
        <w:rPr>
          <w:rFonts w:hint="default" w:ascii="Times New Roman" w:hAnsi="Times New Roman" w:cs="Times New Roman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u w:val="none"/>
          <w:lang w:val="en-US"/>
        </w:rPr>
        <w:t>Communities are linked to Sanitation Facilities, Water Sources, Health Records, Hygiene Education Programs, Climate Impact, Population Growth, and Cultural Practices. It makes it one-to-many relationship.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02B9B"/>
    <w:rsid w:val="1FF972D8"/>
    <w:rsid w:val="581B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2024-08-31T07:25:58Z</dcterms:created>
  <dc:creator>jdndi</dc:creator>
  <cp:lastModifiedBy>JJR 1011</cp:lastModifiedBy>
  <dcterms:modified xsi:type="dcterms:W3CDTF">2024-08-31T07:30:38Z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E9DF8CCA395B4BA38758968C1A80A265_12</vt:lpwstr>
  </property>
</Properties>
</file>