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Within the framework of Sustainable Development Goal 3 (SDG 3), which aims to ensure healthy lives and promote well-being for all at all ages, mental health is a critical aspect that can be effectively addressed using data. Specifically, one can focus on understanding and improving the prevalence and management of depression and anxiety disorders which are two of the most common and impactful mental health conditions globally.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Definition and Context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Mental Health within SDG 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Mental health within SDG 3 encompasses the promotion of mental well-being, prevention of mental disorders, and the provision of effective treatment and support for those suffering from mental health conditions. Depression and anxiety disorders are particularly significant due to their high prevalence and impact on quality of life. These conditions contribute to substantial personal, social, and economic burdens.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Problem Definition: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Understanding and Improving the Prevalence and Management of Depression and Anxiety Disorders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Context: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Global Burden: Depression and anxiety are among the leading causes of disability worldwide. They affect millions of people across various demographics and have wide-ranging effects on individuals’ daily functioning, productivity, and overall well-being.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Underdiagnosis and Stigma: Many individuals with depression or anxiety do not seek or receive appropriate treatment due to stigma, lack of awareness, or insufficient mental health services. This results in significant underdiagnosis and undertreatment.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Variability in Access to Care: Access to mental health care varies greatly by region, income level, and other factors. In some areas, there is a shortage of mental health professionals, while in others, mental health services may be available but not adequately utilized.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How Data Can Address This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Prevalence Monitoring: Collecting and analyzing data from surveys, health records, and epidemiological studies can provide insights into the prevalence and demographic distribution of depression and anxiety disorders. This information helps in understanding which populations are most affected and tracking trends over 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Identifying Gaps in Care: Data on healthcare utilization and access can reveal gaps in the availability and use of mental health services. This includes examining who is seeking treatment, the types of treatment being accessed, and any barriers to care.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Assessing Treatment Effectiveness: By analyzing data on treatment outcomes, healthcare providers and policymakers can evaluate the effectiveness of different interventions and therapies. This includes tracking recovery rates, patient satisfaction, and long-term outcomes.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Resource Allocation: Data-driven insights can guide the allocation of resources to areas with high prevalence rates or significant treatment gaps. For example, identifying regions with high rates of untreated depression or anxiety can lead to targeted investments in mental health services.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Monitoring Policy Impact: Tracking data before and after the implementation of mental health policies or programs can assess their impact on the prevalence of mental health conditions and the quality of care provided.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