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EnergyAccessDB;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USE EnergyAccessDB;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CREATE TABLE Household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HouseholdID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HouseholdName VARCHAR(255)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Income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Location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EnergySource (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EnergySourceID INT AUTO_INCREMENT PRIMARY KEY,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SourceType VARCHAR(100) NOT NULL,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CostPerUnit DECIMAL(10, 2)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CREATE TABLE EnergyUsage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UsageID INT AUTO_INCREMENT PRIMARY KEY,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HouseholdID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EnergySourceID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Year INT,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FOREIGN KEY (HouseholdID),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(EnergySourceID)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Policy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PolicyID INT AUTO_INCREMENT PRIMARY KEY,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PolicyName VARCHAR(255)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Description TEXT,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Date 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Part3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HouseholdID, HouseholdName, Income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FROM Household;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EnergySourceID, SourceType, CostPerUnit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EnergySource;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PolicyID, PolicyName, Description, 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FROM Policy;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PITCH DECK LINK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https://pitch.com/v/1-addressing-energy-access-inequality-3y2c6m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