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BEF3" w14:textId="278ED0A5" w:rsidR="003B511A" w:rsidRDefault="00E704FC">
      <w:pPr>
        <w:rPr>
          <w:rFonts w:ascii="Chalkboard" w:hAnsi="Chalkboard"/>
        </w:rPr>
      </w:pPr>
      <w:r>
        <w:rPr>
          <w:rFonts w:ascii="Chalkboard" w:hAnsi="Chalkboard"/>
        </w:rPr>
        <w:t>The Gallic Wars</w:t>
      </w:r>
    </w:p>
    <w:p w14:paraId="2CE71F10" w14:textId="399F697A" w:rsidR="001177D1" w:rsidRDefault="001177D1">
      <w:pPr>
        <w:rPr>
          <w:rFonts w:ascii="Chalkboard" w:hAnsi="Chalkboar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315"/>
        <w:gridCol w:w="2226"/>
        <w:gridCol w:w="2227"/>
        <w:gridCol w:w="2227"/>
        <w:gridCol w:w="2228"/>
        <w:gridCol w:w="2228"/>
        <w:gridCol w:w="2228"/>
        <w:gridCol w:w="2228"/>
        <w:gridCol w:w="2228"/>
      </w:tblGrid>
      <w:tr w:rsidR="001177D1" w14:paraId="0759ED10" w14:textId="77777777" w:rsidTr="001177D1">
        <w:trPr>
          <w:jc w:val="center"/>
        </w:trPr>
        <w:tc>
          <w:tcPr>
            <w:tcW w:w="2226" w:type="dxa"/>
          </w:tcPr>
          <w:p w14:paraId="7444494C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315" w:type="dxa"/>
          </w:tcPr>
          <w:p w14:paraId="422C75B3" w14:textId="3F1DC611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Looking for a war</w:t>
            </w:r>
          </w:p>
        </w:tc>
        <w:tc>
          <w:tcPr>
            <w:tcW w:w="2226" w:type="dxa"/>
          </w:tcPr>
          <w:p w14:paraId="3EAC2314" w14:textId="02E62E78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The Wars Begin</w:t>
            </w:r>
          </w:p>
        </w:tc>
        <w:tc>
          <w:tcPr>
            <w:tcW w:w="2227" w:type="dxa"/>
          </w:tcPr>
          <w:p w14:paraId="6CCA81F1" w14:textId="4084D95A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Attacks against the Belgae and Nervii</w:t>
            </w:r>
          </w:p>
        </w:tc>
        <w:tc>
          <w:tcPr>
            <w:tcW w:w="2227" w:type="dxa"/>
          </w:tcPr>
          <w:p w14:paraId="2FE7E5ED" w14:textId="32533508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Naval war against the Veneti</w:t>
            </w:r>
          </w:p>
        </w:tc>
        <w:tc>
          <w:tcPr>
            <w:tcW w:w="2228" w:type="dxa"/>
          </w:tcPr>
          <w:p w14:paraId="6E6C73CF" w14:textId="387F3424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Crossing the Rhine</w:t>
            </w:r>
          </w:p>
        </w:tc>
        <w:tc>
          <w:tcPr>
            <w:tcW w:w="2228" w:type="dxa"/>
          </w:tcPr>
          <w:p w14:paraId="51A3CDAD" w14:textId="01EB4265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First Invasion of Britain</w:t>
            </w:r>
          </w:p>
        </w:tc>
        <w:tc>
          <w:tcPr>
            <w:tcW w:w="2228" w:type="dxa"/>
          </w:tcPr>
          <w:p w14:paraId="14163AE5" w14:textId="3B665EE8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Return to Britain</w:t>
            </w:r>
          </w:p>
        </w:tc>
        <w:tc>
          <w:tcPr>
            <w:tcW w:w="2228" w:type="dxa"/>
          </w:tcPr>
          <w:p w14:paraId="33DE1CE3" w14:textId="4F08AA43" w:rsidR="001177D1" w:rsidRDefault="001177D1" w:rsidP="007A1334">
            <w:pPr>
              <w:jc w:val="center"/>
              <w:rPr>
                <w:rFonts w:ascii="Chalkboard" w:hAnsi="Chalkboard"/>
              </w:rPr>
            </w:pPr>
            <w:proofErr w:type="spellStart"/>
            <w:r>
              <w:rPr>
                <w:rFonts w:ascii="Chalkboard" w:hAnsi="Chalkboard"/>
              </w:rPr>
              <w:t>Ambiorix’s</w:t>
            </w:r>
            <w:proofErr w:type="spellEnd"/>
            <w:r>
              <w:rPr>
                <w:rFonts w:ascii="Chalkboard" w:hAnsi="Chalkboard"/>
              </w:rPr>
              <w:t xml:space="preserve"> Revolt</w:t>
            </w:r>
          </w:p>
        </w:tc>
        <w:tc>
          <w:tcPr>
            <w:tcW w:w="2228" w:type="dxa"/>
          </w:tcPr>
          <w:p w14:paraId="6B07050E" w14:textId="6697B497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Vercingetorix’s revolt</w:t>
            </w:r>
          </w:p>
        </w:tc>
      </w:tr>
      <w:tr w:rsidR="001177D1" w14:paraId="548AE84E" w14:textId="77777777" w:rsidTr="001177D1">
        <w:trPr>
          <w:jc w:val="center"/>
        </w:trPr>
        <w:tc>
          <w:tcPr>
            <w:tcW w:w="2226" w:type="dxa"/>
          </w:tcPr>
          <w:p w14:paraId="3B2851BA" w14:textId="510A5050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Events/Dates</w:t>
            </w:r>
          </w:p>
        </w:tc>
        <w:tc>
          <w:tcPr>
            <w:tcW w:w="2315" w:type="dxa"/>
          </w:tcPr>
          <w:p w14:paraId="1FE845C6" w14:textId="7ABCE19E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6" w:type="dxa"/>
          </w:tcPr>
          <w:p w14:paraId="2CC970EE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7" w:type="dxa"/>
          </w:tcPr>
          <w:p w14:paraId="79DBC72F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056D7C0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4235F3F9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0DAEF282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31060AD3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46FE368C" w14:textId="0B9A1436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7" w:type="dxa"/>
          </w:tcPr>
          <w:p w14:paraId="217F7BC4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32BBDF0D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6C68CF2F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0BE139A2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5A6CC38F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19E9C1FF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75A25D18" w14:textId="653E5CAD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24764293" w14:textId="67E4C031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4DADF9E2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0247EACD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656AC56E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42B949FA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798BDFF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7F57A63" w14:textId="1331C41D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773D4A0D" w14:textId="054EC11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39525411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648C84C5" w14:textId="71EB9ACD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769E935F" w14:textId="638229CA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38A0712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213B4E37" w14:textId="7B344B59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203B9E74" w14:textId="4FDA04C3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79F58AF2" w14:textId="5BE06B83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4B895555" w14:textId="6E9B886D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5FCDA2AD" w14:textId="3750D2CD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32B3DF76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20E30F49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19971846" w14:textId="7F65196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</w:tr>
      <w:tr w:rsidR="001177D1" w14:paraId="17E5EEDF" w14:textId="77777777" w:rsidTr="001177D1">
        <w:trPr>
          <w:jc w:val="center"/>
        </w:trPr>
        <w:tc>
          <w:tcPr>
            <w:tcW w:w="2226" w:type="dxa"/>
          </w:tcPr>
          <w:p w14:paraId="26DB7DF6" w14:textId="66CFA003" w:rsidR="001177D1" w:rsidRDefault="001177D1" w:rsidP="007A1334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People</w:t>
            </w:r>
          </w:p>
        </w:tc>
        <w:tc>
          <w:tcPr>
            <w:tcW w:w="2315" w:type="dxa"/>
          </w:tcPr>
          <w:p w14:paraId="6FFEDEFC" w14:textId="14D412A2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6" w:type="dxa"/>
          </w:tcPr>
          <w:p w14:paraId="1FBD63E8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7" w:type="dxa"/>
          </w:tcPr>
          <w:p w14:paraId="3FAE8696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7" w:type="dxa"/>
          </w:tcPr>
          <w:p w14:paraId="256DF106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05C4466E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55CE95DE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7158506B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641212DA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2228" w:type="dxa"/>
          </w:tcPr>
          <w:p w14:paraId="7042C45D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C568C86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70BE58E0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901A450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0E7DBB1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6B7925CC" w14:textId="2658240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E6ADA9D" w14:textId="04518A1D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472C1C2E" w14:textId="3C8888BE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CF2A3C8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EC2CAD1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5A001FBF" w14:textId="266FD94F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2BF069F7" w14:textId="411E0066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37021076" w14:textId="77777777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04C9DB38" w14:textId="41CE1918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  <w:p w14:paraId="1AA582B1" w14:textId="5A93730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65B0AC42" w14:textId="45CD3C3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6D8BD475" w14:textId="28627B79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6527AB3E" w14:textId="3DE16501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0AECBE65" w14:textId="3990754E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75F0F717" w14:textId="384431AE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2B32B1A9" w14:textId="77777777" w:rsidR="000A0FE2" w:rsidRDefault="000A0FE2" w:rsidP="007A1334">
            <w:pPr>
              <w:jc w:val="center"/>
              <w:rPr>
                <w:rFonts w:ascii="Chalkboard" w:hAnsi="Chalkboard"/>
              </w:rPr>
            </w:pPr>
          </w:p>
          <w:p w14:paraId="246A2A4F" w14:textId="51CEC78A" w:rsidR="001177D1" w:rsidRDefault="001177D1" w:rsidP="007A1334">
            <w:pPr>
              <w:jc w:val="center"/>
              <w:rPr>
                <w:rFonts w:ascii="Chalkboard" w:hAnsi="Chalkboard"/>
              </w:rPr>
            </w:pPr>
          </w:p>
        </w:tc>
      </w:tr>
    </w:tbl>
    <w:p w14:paraId="339E3DCB" w14:textId="77777777" w:rsidR="001177D1" w:rsidRPr="00E704FC" w:rsidRDefault="001177D1">
      <w:pPr>
        <w:rPr>
          <w:rFonts w:ascii="Chalkboard" w:hAnsi="Chalkboard"/>
        </w:rPr>
      </w:pPr>
    </w:p>
    <w:sectPr w:rsidR="001177D1" w:rsidRPr="00E704FC" w:rsidSect="00E704FC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FC"/>
    <w:rsid w:val="000A0FE2"/>
    <w:rsid w:val="001177D1"/>
    <w:rsid w:val="001977A2"/>
    <w:rsid w:val="003B511A"/>
    <w:rsid w:val="007A1334"/>
    <w:rsid w:val="00B0734D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3CA06"/>
  <w15:chartTrackingRefBased/>
  <w15:docId w15:val="{006E7377-5E21-5D4B-A873-0608EB60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2023-08-21T11:55:00Z</dcterms:created>
  <dcterms:modified xsi:type="dcterms:W3CDTF">2023-08-21T12:06:00Z</dcterms:modified>
</cp:coreProperties>
</file>