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EA9B" w14:textId="1153818A" w:rsidR="00CF7D81" w:rsidRPr="000825AD" w:rsidRDefault="00485C90" w:rsidP="00485C90">
      <w:pPr>
        <w:jc w:val="center"/>
        <w:rPr>
          <w:rFonts w:ascii="Chalkboard" w:hAnsi="Chalkboard"/>
          <w:sz w:val="40"/>
          <w:szCs w:val="40"/>
        </w:rPr>
      </w:pPr>
      <w:r w:rsidRPr="000825AD">
        <w:rPr>
          <w:rFonts w:ascii="Chalkboard" w:hAnsi="Chalkboard"/>
          <w:sz w:val="40"/>
          <w:szCs w:val="40"/>
        </w:rPr>
        <w:t>Roman Citizenship</w:t>
      </w:r>
    </w:p>
    <w:p w14:paraId="4B9D3F82" w14:textId="6A9A36CA" w:rsidR="00485C90" w:rsidRPr="00485C90" w:rsidRDefault="00485C90" w:rsidP="00485C90">
      <w:pPr>
        <w:jc w:val="center"/>
        <w:rPr>
          <w:rFonts w:ascii="Chalkboard" w:hAnsi="Chalkboard"/>
          <w:sz w:val="28"/>
          <w:szCs w:val="28"/>
        </w:rPr>
      </w:pPr>
    </w:p>
    <w:p w14:paraId="4FD14372" w14:textId="03B74627" w:rsidR="00485C90" w:rsidRPr="000825AD" w:rsidRDefault="00485C90" w:rsidP="000825AD">
      <w:pPr>
        <w:pStyle w:val="topic-paragraph"/>
        <w:shd w:val="clear" w:color="auto" w:fill="FFFFFF"/>
        <w:spacing w:before="0" w:beforeAutospacing="0" w:line="360" w:lineRule="auto"/>
        <w:jc w:val="center"/>
        <w:rPr>
          <w:rFonts w:ascii="Chalkboard" w:hAnsi="Chalkboard"/>
          <w:color w:val="1A1A1A"/>
        </w:rPr>
      </w:pPr>
      <w:r w:rsidRPr="000825AD">
        <w:rPr>
          <w:rStyle w:val="Strong"/>
          <w:rFonts w:ascii="Chalkboard" w:hAnsi="Chalkboard"/>
          <w:color w:val="1A1A1A"/>
        </w:rPr>
        <w:t>Civitas</w:t>
      </w:r>
      <w:r w:rsidRPr="000825AD">
        <w:rPr>
          <w:rFonts w:ascii="Chalkboard" w:hAnsi="Chalkboard"/>
          <w:color w:val="1A1A1A"/>
        </w:rPr>
        <w:t>, citizenship in ancient Rome. Roman citizenship was acqui</w:t>
      </w:r>
      <w:r w:rsidRPr="000825AD">
        <w:rPr>
          <w:rFonts w:ascii="Chalkboard" w:hAnsi="Chalkboard"/>
          <w:color w:val="1A1A1A"/>
        </w:rPr>
        <w:t>r</w:t>
      </w:r>
      <w:r w:rsidRPr="000825AD">
        <w:rPr>
          <w:rFonts w:ascii="Chalkboard" w:hAnsi="Chalkboard"/>
          <w:color w:val="1A1A1A"/>
        </w:rPr>
        <w:t>ed by birth if both parents were Roman citizens (</w:t>
      </w:r>
      <w:proofErr w:type="spellStart"/>
      <w:r w:rsidRPr="000825AD">
        <w:rPr>
          <w:rStyle w:val="Emphasis"/>
          <w:rFonts w:ascii="Chalkboard" w:hAnsi="Chalkboard"/>
          <w:color w:val="1A1A1A"/>
        </w:rPr>
        <w:t>cives</w:t>
      </w:r>
      <w:proofErr w:type="spellEnd"/>
      <w:r w:rsidRPr="000825AD">
        <w:rPr>
          <w:rFonts w:ascii="Chalkboard" w:hAnsi="Chalkboard"/>
          <w:color w:val="1A1A1A"/>
        </w:rPr>
        <w:t>), although one of them, usually the mother, might be a </w:t>
      </w:r>
      <w:r w:rsidRPr="000825AD">
        <w:rPr>
          <w:rStyle w:val="Emphasis"/>
          <w:rFonts w:ascii="Chalkboard" w:hAnsi="Chalkboard"/>
          <w:color w:val="1A1A1A"/>
        </w:rPr>
        <w:t>peregrinus</w:t>
      </w:r>
      <w:r w:rsidRPr="000825AD">
        <w:rPr>
          <w:rFonts w:ascii="Chalkboard" w:hAnsi="Chalkboard"/>
          <w:color w:val="1A1A1A"/>
        </w:rPr>
        <w:t> (“alien”) with </w:t>
      </w:r>
      <w:r w:rsidRPr="000825AD">
        <w:rPr>
          <w:rStyle w:val="Emphasis"/>
          <w:rFonts w:ascii="Chalkboard" w:hAnsi="Chalkboard"/>
          <w:color w:val="1A1A1A"/>
        </w:rPr>
        <w:t>connubium</w:t>
      </w:r>
      <w:r w:rsidRPr="000825AD">
        <w:rPr>
          <w:rFonts w:ascii="Chalkboard" w:hAnsi="Chalkboard"/>
          <w:color w:val="1A1A1A"/>
        </w:rPr>
        <w:t> (the right to contract a Roman marriage). Otherwise, citizenship could be granted by the people, later by generals and emperors. By the 3rd century </w:t>
      </w:r>
      <w:proofErr w:type="gramStart"/>
      <w:r w:rsidRPr="000825AD">
        <w:rPr>
          <w:rStyle w:val="text-smallcaps"/>
          <w:rFonts w:ascii="Chalkboard" w:hAnsi="Chalkboard"/>
          <w:caps/>
          <w:color w:val="1A1A1A"/>
          <w:sz w:val="18"/>
          <w:szCs w:val="18"/>
        </w:rPr>
        <w:t>BC</w:t>
      </w:r>
      <w:proofErr w:type="gramEnd"/>
      <w:r w:rsidRPr="000825AD">
        <w:rPr>
          <w:rFonts w:ascii="Chalkboard" w:hAnsi="Chalkboard"/>
          <w:color w:val="1A1A1A"/>
        </w:rPr>
        <w:t> the plebeians gained equal voting rights with the patricians, so that all Roman citizens were enfranchised, but the value of the voting right was related to wealth because the Roman assemblies were organized by property qualifications. </w:t>
      </w:r>
      <w:r w:rsidRPr="000825AD">
        <w:rPr>
          <w:rStyle w:val="Emphasis"/>
          <w:rFonts w:ascii="Chalkboard" w:hAnsi="Chalkboard"/>
          <w:color w:val="1A1A1A"/>
        </w:rPr>
        <w:t>Civitas</w:t>
      </w:r>
      <w:r w:rsidRPr="000825AD">
        <w:rPr>
          <w:rFonts w:ascii="Chalkboard" w:hAnsi="Chalkboard"/>
          <w:color w:val="1A1A1A"/>
        </w:rPr>
        <w:t> also included such rights as </w:t>
      </w:r>
      <w:r w:rsidRPr="000825AD">
        <w:rPr>
          <w:rStyle w:val="Emphasis"/>
          <w:rFonts w:ascii="Chalkboard" w:hAnsi="Chalkboard"/>
          <w:color w:val="1A1A1A"/>
        </w:rPr>
        <w:t xml:space="preserve">jus </w:t>
      </w:r>
      <w:proofErr w:type="spellStart"/>
      <w:r w:rsidRPr="000825AD">
        <w:rPr>
          <w:rStyle w:val="Emphasis"/>
          <w:rFonts w:ascii="Chalkboard" w:hAnsi="Chalkboard"/>
          <w:color w:val="1A1A1A"/>
        </w:rPr>
        <w:t>honorum</w:t>
      </w:r>
      <w:proofErr w:type="spellEnd"/>
      <w:r w:rsidRPr="000825AD">
        <w:rPr>
          <w:rFonts w:ascii="Chalkboard" w:hAnsi="Chalkboard"/>
          <w:color w:val="1A1A1A"/>
        </w:rPr>
        <w:t> (eligibility for public office) and </w:t>
      </w:r>
      <w:r w:rsidRPr="000825AD">
        <w:rPr>
          <w:rStyle w:val="Emphasis"/>
          <w:rFonts w:ascii="Chalkboard" w:hAnsi="Chalkboard"/>
          <w:color w:val="1A1A1A"/>
        </w:rPr>
        <w:t xml:space="preserve">jus </w:t>
      </w:r>
      <w:proofErr w:type="spellStart"/>
      <w:r w:rsidRPr="000825AD">
        <w:rPr>
          <w:rStyle w:val="Emphasis"/>
          <w:rFonts w:ascii="Chalkboard" w:hAnsi="Chalkboard"/>
          <w:color w:val="1A1A1A"/>
        </w:rPr>
        <w:t>militiae</w:t>
      </w:r>
      <w:proofErr w:type="spellEnd"/>
      <w:r w:rsidRPr="000825AD">
        <w:rPr>
          <w:rFonts w:ascii="Chalkboard" w:hAnsi="Chalkboard"/>
          <w:color w:val="1A1A1A"/>
        </w:rPr>
        <w:t> (right of military service)—though these rights were restricted by property qualifications.</w:t>
      </w:r>
    </w:p>
    <w:p w14:paraId="2A154E32" w14:textId="1E7D8811" w:rsidR="00485C90" w:rsidRPr="000825AD" w:rsidRDefault="00485C90" w:rsidP="000825AD">
      <w:pPr>
        <w:pStyle w:val="topic-paragraph"/>
        <w:shd w:val="clear" w:color="auto" w:fill="FFFFFF"/>
        <w:spacing w:before="0" w:beforeAutospacing="0" w:line="360" w:lineRule="auto"/>
        <w:jc w:val="center"/>
        <w:rPr>
          <w:rFonts w:ascii="Chalkboard" w:hAnsi="Chalkboard"/>
          <w:color w:val="1A1A1A"/>
        </w:rPr>
      </w:pPr>
      <w:r w:rsidRPr="000825AD">
        <w:rPr>
          <w:rFonts w:ascii="Chalkboard" w:hAnsi="Chalkboard"/>
          <w:color w:val="1A1A1A"/>
        </w:rPr>
        <w:t>As Rome expanded its control in Italy, those who lived in communities with Latin Rights (a status originally granted the cities of Latium) or in </w:t>
      </w:r>
      <w:r w:rsidRPr="000825AD">
        <w:rPr>
          <w:rStyle w:val="Emphasis"/>
          <w:rFonts w:ascii="Chalkboard" w:hAnsi="Chalkboard"/>
          <w:color w:val="1A1A1A"/>
        </w:rPr>
        <w:t>municipia</w:t>
      </w:r>
      <w:r w:rsidRPr="000825AD">
        <w:rPr>
          <w:rFonts w:ascii="Chalkboard" w:hAnsi="Chalkboard"/>
          <w:color w:val="1A1A1A"/>
        </w:rPr>
        <w:t> (autonomous communities) governed their own local affairs while enjoying most rights of Roman citizenship except the right to vote. Also, Latin allies who moved to Rome permanently gained full citizenship, including the franchise. The </w:t>
      </w:r>
      <w:r w:rsidRPr="000825AD">
        <w:rPr>
          <w:rStyle w:val="Emphasis"/>
          <w:rFonts w:ascii="Chalkboard" w:hAnsi="Chalkboard"/>
          <w:color w:val="1A1A1A"/>
        </w:rPr>
        <w:t>socii</w:t>
      </w:r>
      <w:r w:rsidRPr="000825AD">
        <w:rPr>
          <w:rFonts w:ascii="Chalkboard" w:hAnsi="Chalkboard"/>
          <w:color w:val="1A1A1A"/>
        </w:rPr>
        <w:t> (allies), bound to Rome by treaty, ordinarily did not then have the rights of Roman citizens, yet they were bound to do military service and to pay taxes or tribute, depending on the treaty’s terms. Unhappy with their increasingly inferior status, the </w:t>
      </w:r>
      <w:r w:rsidRPr="000825AD">
        <w:rPr>
          <w:rStyle w:val="Emphasis"/>
          <w:rFonts w:ascii="Chalkboard" w:hAnsi="Chalkboard"/>
          <w:color w:val="1A1A1A"/>
        </w:rPr>
        <w:t>socii</w:t>
      </w:r>
      <w:r w:rsidRPr="000825AD">
        <w:rPr>
          <w:rFonts w:ascii="Chalkboard" w:hAnsi="Chalkboard"/>
          <w:color w:val="1A1A1A"/>
        </w:rPr>
        <w:t> revolted; the ensuing conflict was called the Social War (90–88 </w:t>
      </w:r>
      <w:r w:rsidRPr="000825AD">
        <w:rPr>
          <w:rStyle w:val="text-smallcaps"/>
          <w:rFonts w:ascii="Chalkboard" w:hAnsi="Chalkboard"/>
          <w:caps/>
          <w:color w:val="1A1A1A"/>
          <w:sz w:val="18"/>
          <w:szCs w:val="18"/>
        </w:rPr>
        <w:t>BC</w:t>
      </w:r>
      <w:r w:rsidRPr="000825AD">
        <w:rPr>
          <w:rFonts w:ascii="Chalkboard" w:hAnsi="Chalkboard"/>
          <w:color w:val="1A1A1A"/>
        </w:rPr>
        <w:t>), at the close of which full citizenship was conferred on all of Italy south of the Po River.</w:t>
      </w:r>
    </w:p>
    <w:p w14:paraId="0E65AF94" w14:textId="77777777" w:rsidR="00485C90" w:rsidRPr="000825AD" w:rsidRDefault="00485C90" w:rsidP="000825AD">
      <w:pPr>
        <w:pStyle w:val="topic-paragraph"/>
        <w:shd w:val="clear" w:color="auto" w:fill="FFFFFF"/>
        <w:spacing w:before="0" w:beforeAutospacing="0" w:line="360" w:lineRule="auto"/>
        <w:jc w:val="center"/>
        <w:rPr>
          <w:rFonts w:ascii="Chalkboard" w:hAnsi="Chalkboard"/>
          <w:color w:val="1A1A1A"/>
        </w:rPr>
      </w:pPr>
      <w:r w:rsidRPr="000825AD">
        <w:rPr>
          <w:rFonts w:ascii="Chalkboard" w:hAnsi="Chalkboard"/>
          <w:color w:val="1A1A1A"/>
        </w:rPr>
        <w:t>Beginning in the reign of Julius Caesar (</w:t>
      </w:r>
      <w:r w:rsidRPr="000825AD">
        <w:rPr>
          <w:rStyle w:val="Emphasis"/>
          <w:rFonts w:ascii="Chalkboard" w:hAnsi="Chalkboard"/>
          <w:color w:val="1A1A1A"/>
        </w:rPr>
        <w:t>c.</w:t>
      </w:r>
      <w:r w:rsidRPr="000825AD">
        <w:rPr>
          <w:rFonts w:ascii="Chalkboard" w:hAnsi="Chalkboard"/>
          <w:color w:val="1A1A1A"/>
        </w:rPr>
        <w:t> 48 </w:t>
      </w:r>
      <w:r w:rsidRPr="000825AD">
        <w:rPr>
          <w:rStyle w:val="text-smallcaps"/>
          <w:rFonts w:ascii="Chalkboard" w:hAnsi="Chalkboard"/>
          <w:caps/>
          <w:color w:val="1A1A1A"/>
          <w:sz w:val="18"/>
          <w:szCs w:val="18"/>
        </w:rPr>
        <w:t>BC</w:t>
      </w:r>
      <w:r w:rsidRPr="000825AD">
        <w:rPr>
          <w:rFonts w:ascii="Chalkboard" w:hAnsi="Chalkboard"/>
          <w:color w:val="1A1A1A"/>
        </w:rPr>
        <w:t>), colonies and </w:t>
      </w:r>
      <w:r w:rsidRPr="000825AD">
        <w:rPr>
          <w:rStyle w:val="Emphasis"/>
          <w:rFonts w:ascii="Chalkboard" w:hAnsi="Chalkboard"/>
          <w:color w:val="1A1A1A"/>
        </w:rPr>
        <w:t>municipia</w:t>
      </w:r>
      <w:r w:rsidRPr="000825AD">
        <w:rPr>
          <w:rFonts w:ascii="Chalkboard" w:hAnsi="Chalkboard"/>
          <w:color w:val="1A1A1A"/>
        </w:rPr>
        <w:t> were established outside the Italian peninsula. Then Roman </w:t>
      </w:r>
      <w:r w:rsidRPr="000825AD">
        <w:rPr>
          <w:rStyle w:val="Emphasis"/>
          <w:rFonts w:ascii="Chalkboard" w:hAnsi="Chalkboard"/>
          <w:color w:val="1A1A1A"/>
        </w:rPr>
        <w:t>civitas</w:t>
      </w:r>
      <w:r w:rsidRPr="000825AD">
        <w:rPr>
          <w:rFonts w:ascii="Chalkboard" w:hAnsi="Chalkboard"/>
          <w:color w:val="1A1A1A"/>
        </w:rPr>
        <w:t xml:space="preserve"> was extended to provincials, but not </w:t>
      </w:r>
      <w:proofErr w:type="spellStart"/>
      <w:r w:rsidRPr="000825AD">
        <w:rPr>
          <w:rFonts w:ascii="Chalkboard" w:hAnsi="Chalkboard"/>
          <w:color w:val="1A1A1A"/>
        </w:rPr>
        <w:t>en</w:t>
      </w:r>
      <w:proofErr w:type="spellEnd"/>
      <w:r w:rsidRPr="000825AD">
        <w:rPr>
          <w:rFonts w:ascii="Chalkboard" w:hAnsi="Chalkboard"/>
          <w:color w:val="1A1A1A"/>
        </w:rPr>
        <w:t xml:space="preserve"> masse; granting Roman citizenship to soldiers and aristocrats of provincial origin hastened the pace of Romanization in the western provinces. The significance of Roman citizenship declined in the empire, however, because military service was no longer compulsory, and suffrage was invalidated by the abolition of republican government. In </w:t>
      </w:r>
      <w:r w:rsidRPr="000825AD">
        <w:rPr>
          <w:rStyle w:val="text-smallcaps"/>
          <w:rFonts w:ascii="Chalkboard" w:hAnsi="Chalkboard"/>
          <w:caps/>
          <w:color w:val="1A1A1A"/>
          <w:sz w:val="18"/>
          <w:szCs w:val="18"/>
        </w:rPr>
        <w:t>AD</w:t>
      </w:r>
      <w:r w:rsidRPr="000825AD">
        <w:rPr>
          <w:rFonts w:ascii="Chalkboard" w:hAnsi="Chalkboard"/>
          <w:color w:val="1A1A1A"/>
        </w:rPr>
        <w:t> 212 the Edict of Caracalla granted citizenship to all free inhabitants of the empire.</w:t>
      </w:r>
    </w:p>
    <w:p w14:paraId="6E0D8B51" w14:textId="4DAA6DAB" w:rsidR="00485C90" w:rsidRPr="000825AD" w:rsidRDefault="00485C90" w:rsidP="000825AD">
      <w:pPr>
        <w:pStyle w:val="topic-paragraph"/>
        <w:shd w:val="clear" w:color="auto" w:fill="FFFFFF"/>
        <w:spacing w:before="0" w:beforeAutospacing="0" w:after="0" w:afterAutospacing="0" w:line="360" w:lineRule="auto"/>
        <w:jc w:val="center"/>
        <w:rPr>
          <w:rFonts w:ascii="Chalkboard" w:hAnsi="Chalkboard"/>
          <w:color w:val="1A1A1A"/>
        </w:rPr>
      </w:pPr>
      <w:r w:rsidRPr="000825AD">
        <w:rPr>
          <w:rStyle w:val="Emphasis"/>
          <w:rFonts w:ascii="Chalkboard" w:hAnsi="Chalkboard"/>
          <w:color w:val="1A1A1A"/>
        </w:rPr>
        <w:t>Civitas</w:t>
      </w:r>
      <w:r w:rsidRPr="000825AD">
        <w:rPr>
          <w:rFonts w:ascii="Chalkboard" w:hAnsi="Chalkboard"/>
          <w:color w:val="1A1A1A"/>
        </w:rPr>
        <w:t> also denoted a favoured provincial community. Some were exempted from tribute payment and Roman judicial jurisdiction. Others received grants of self-government and were not subject to military occupation</w:t>
      </w:r>
    </w:p>
    <w:p w14:paraId="3934D80C" w14:textId="77777777" w:rsidR="00485C90" w:rsidRPr="00485C90" w:rsidRDefault="00485C90" w:rsidP="00485C90">
      <w:pPr>
        <w:jc w:val="center"/>
        <w:rPr>
          <w:rFonts w:ascii="Chalkboard" w:hAnsi="Chalkboard"/>
          <w:sz w:val="28"/>
          <w:szCs w:val="28"/>
        </w:rPr>
      </w:pPr>
    </w:p>
    <w:sectPr w:rsidR="00485C90" w:rsidRPr="00485C90" w:rsidSect="00485C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650F7"/>
    <w:multiLevelType w:val="multilevel"/>
    <w:tmpl w:val="9ED8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44D57"/>
    <w:multiLevelType w:val="multilevel"/>
    <w:tmpl w:val="960C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467404">
    <w:abstractNumId w:val="0"/>
  </w:num>
  <w:num w:numId="2" w16cid:durableId="954361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81"/>
    <w:rsid w:val="000825AD"/>
    <w:rsid w:val="000D5F04"/>
    <w:rsid w:val="001977A2"/>
    <w:rsid w:val="00485C90"/>
    <w:rsid w:val="00B0734D"/>
    <w:rsid w:val="00CF7D81"/>
    <w:rsid w:val="00F642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D48D91"/>
  <w15:chartTrackingRefBased/>
  <w15:docId w15:val="{54840422-8941-B941-AFCB-8143FB7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D8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F7D81"/>
    <w:pPr>
      <w:ind w:left="720"/>
      <w:contextualSpacing/>
    </w:pPr>
  </w:style>
  <w:style w:type="table" w:styleId="TableGrid">
    <w:name w:val="Table Grid"/>
    <w:basedOn w:val="TableNormal"/>
    <w:uiPriority w:val="39"/>
    <w:rsid w:val="00F6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paragraph">
    <w:name w:val="topic-paragraph"/>
    <w:basedOn w:val="Normal"/>
    <w:rsid w:val="00485C9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85C90"/>
    <w:rPr>
      <w:b/>
      <w:bCs/>
    </w:rPr>
  </w:style>
  <w:style w:type="character" w:styleId="Hyperlink">
    <w:name w:val="Hyperlink"/>
    <w:basedOn w:val="DefaultParagraphFont"/>
    <w:uiPriority w:val="99"/>
    <w:semiHidden/>
    <w:unhideWhenUsed/>
    <w:rsid w:val="00485C90"/>
    <w:rPr>
      <w:color w:val="0000FF"/>
      <w:u w:val="single"/>
    </w:rPr>
  </w:style>
  <w:style w:type="character" w:styleId="Emphasis">
    <w:name w:val="Emphasis"/>
    <w:basedOn w:val="DefaultParagraphFont"/>
    <w:uiPriority w:val="20"/>
    <w:qFormat/>
    <w:rsid w:val="00485C90"/>
    <w:rPr>
      <w:i/>
      <w:iCs/>
    </w:rPr>
  </w:style>
  <w:style w:type="character" w:customStyle="1" w:styleId="text-smallcaps">
    <w:name w:val="text-smallcaps"/>
    <w:basedOn w:val="DefaultParagraphFont"/>
    <w:rsid w:val="0048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3664">
      <w:bodyDiv w:val="1"/>
      <w:marLeft w:val="0"/>
      <w:marRight w:val="0"/>
      <w:marTop w:val="0"/>
      <w:marBottom w:val="0"/>
      <w:divBdr>
        <w:top w:val="none" w:sz="0" w:space="0" w:color="auto"/>
        <w:left w:val="none" w:sz="0" w:space="0" w:color="auto"/>
        <w:bottom w:val="none" w:sz="0" w:space="0" w:color="auto"/>
        <w:right w:val="none" w:sz="0" w:space="0" w:color="auto"/>
      </w:divBdr>
      <w:divsChild>
        <w:div w:id="1284266755">
          <w:marLeft w:val="0"/>
          <w:marRight w:val="0"/>
          <w:marTop w:val="0"/>
          <w:marBottom w:val="0"/>
          <w:divBdr>
            <w:top w:val="none" w:sz="0" w:space="0" w:color="auto"/>
            <w:left w:val="none" w:sz="0" w:space="0" w:color="auto"/>
            <w:bottom w:val="none" w:sz="0" w:space="0" w:color="auto"/>
            <w:right w:val="none" w:sz="0" w:space="0" w:color="auto"/>
          </w:divBdr>
          <w:divsChild>
            <w:div w:id="1874607872">
              <w:marLeft w:val="0"/>
              <w:marRight w:val="0"/>
              <w:marTop w:val="0"/>
              <w:marBottom w:val="0"/>
              <w:divBdr>
                <w:top w:val="none" w:sz="0" w:space="0" w:color="auto"/>
                <w:left w:val="none" w:sz="0" w:space="0" w:color="auto"/>
                <w:bottom w:val="none" w:sz="0" w:space="0" w:color="auto"/>
                <w:right w:val="none" w:sz="0" w:space="0" w:color="auto"/>
              </w:divBdr>
              <w:divsChild>
                <w:div w:id="1400707954">
                  <w:marLeft w:val="0"/>
                  <w:marRight w:val="0"/>
                  <w:marTop w:val="0"/>
                  <w:marBottom w:val="0"/>
                  <w:divBdr>
                    <w:top w:val="none" w:sz="0" w:space="0" w:color="auto"/>
                    <w:left w:val="none" w:sz="0" w:space="0" w:color="auto"/>
                    <w:bottom w:val="none" w:sz="0" w:space="0" w:color="auto"/>
                    <w:right w:val="none" w:sz="0" w:space="0" w:color="auto"/>
                  </w:divBdr>
                </w:div>
              </w:divsChild>
            </w:div>
            <w:div w:id="1966083892">
              <w:marLeft w:val="0"/>
              <w:marRight w:val="0"/>
              <w:marTop w:val="0"/>
              <w:marBottom w:val="0"/>
              <w:divBdr>
                <w:top w:val="none" w:sz="0" w:space="0" w:color="auto"/>
                <w:left w:val="none" w:sz="0" w:space="0" w:color="auto"/>
                <w:bottom w:val="none" w:sz="0" w:space="0" w:color="auto"/>
                <w:right w:val="none" w:sz="0" w:space="0" w:color="auto"/>
              </w:divBdr>
              <w:divsChild>
                <w:div w:id="2144928237">
                  <w:marLeft w:val="0"/>
                  <w:marRight w:val="0"/>
                  <w:marTop w:val="0"/>
                  <w:marBottom w:val="0"/>
                  <w:divBdr>
                    <w:top w:val="none" w:sz="0" w:space="0" w:color="auto"/>
                    <w:left w:val="none" w:sz="0" w:space="0" w:color="auto"/>
                    <w:bottom w:val="none" w:sz="0" w:space="0" w:color="auto"/>
                    <w:right w:val="none" w:sz="0" w:space="0" w:color="auto"/>
                  </w:divBdr>
                </w:div>
              </w:divsChild>
            </w:div>
            <w:div w:id="391007559">
              <w:marLeft w:val="0"/>
              <w:marRight w:val="0"/>
              <w:marTop w:val="0"/>
              <w:marBottom w:val="0"/>
              <w:divBdr>
                <w:top w:val="none" w:sz="0" w:space="0" w:color="auto"/>
                <w:left w:val="none" w:sz="0" w:space="0" w:color="auto"/>
                <w:bottom w:val="none" w:sz="0" w:space="0" w:color="auto"/>
                <w:right w:val="none" w:sz="0" w:space="0" w:color="auto"/>
              </w:divBdr>
              <w:divsChild>
                <w:div w:id="1414863341">
                  <w:marLeft w:val="0"/>
                  <w:marRight w:val="0"/>
                  <w:marTop w:val="0"/>
                  <w:marBottom w:val="0"/>
                  <w:divBdr>
                    <w:top w:val="none" w:sz="0" w:space="0" w:color="auto"/>
                    <w:left w:val="none" w:sz="0" w:space="0" w:color="auto"/>
                    <w:bottom w:val="none" w:sz="0" w:space="0" w:color="auto"/>
                    <w:right w:val="none" w:sz="0" w:space="0" w:color="auto"/>
                  </w:divBdr>
                </w:div>
              </w:divsChild>
            </w:div>
            <w:div w:id="523518734">
              <w:marLeft w:val="0"/>
              <w:marRight w:val="0"/>
              <w:marTop w:val="0"/>
              <w:marBottom w:val="0"/>
              <w:divBdr>
                <w:top w:val="none" w:sz="0" w:space="0" w:color="auto"/>
                <w:left w:val="none" w:sz="0" w:space="0" w:color="auto"/>
                <w:bottom w:val="none" w:sz="0" w:space="0" w:color="auto"/>
                <w:right w:val="none" w:sz="0" w:space="0" w:color="auto"/>
              </w:divBdr>
              <w:divsChild>
                <w:div w:id="1009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2151">
      <w:bodyDiv w:val="1"/>
      <w:marLeft w:val="0"/>
      <w:marRight w:val="0"/>
      <w:marTop w:val="0"/>
      <w:marBottom w:val="0"/>
      <w:divBdr>
        <w:top w:val="none" w:sz="0" w:space="0" w:color="auto"/>
        <w:left w:val="none" w:sz="0" w:space="0" w:color="auto"/>
        <w:bottom w:val="none" w:sz="0" w:space="0" w:color="auto"/>
        <w:right w:val="none" w:sz="0" w:space="0" w:color="auto"/>
      </w:divBdr>
      <w:divsChild>
        <w:div w:id="1668677687">
          <w:marLeft w:val="0"/>
          <w:marRight w:val="0"/>
          <w:marTop w:val="0"/>
          <w:marBottom w:val="0"/>
          <w:divBdr>
            <w:top w:val="none" w:sz="0" w:space="0" w:color="auto"/>
            <w:left w:val="none" w:sz="0" w:space="0" w:color="auto"/>
            <w:bottom w:val="none" w:sz="0" w:space="0" w:color="auto"/>
            <w:right w:val="none" w:sz="0" w:space="0" w:color="auto"/>
          </w:divBdr>
          <w:divsChild>
            <w:div w:id="1261140750">
              <w:marLeft w:val="0"/>
              <w:marRight w:val="0"/>
              <w:marTop w:val="0"/>
              <w:marBottom w:val="0"/>
              <w:divBdr>
                <w:top w:val="none" w:sz="0" w:space="0" w:color="auto"/>
                <w:left w:val="none" w:sz="0" w:space="0" w:color="auto"/>
                <w:bottom w:val="none" w:sz="0" w:space="0" w:color="auto"/>
                <w:right w:val="none" w:sz="0" w:space="0" w:color="auto"/>
              </w:divBdr>
              <w:divsChild>
                <w:div w:id="62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0855">
      <w:bodyDiv w:val="1"/>
      <w:marLeft w:val="0"/>
      <w:marRight w:val="0"/>
      <w:marTop w:val="0"/>
      <w:marBottom w:val="0"/>
      <w:divBdr>
        <w:top w:val="none" w:sz="0" w:space="0" w:color="auto"/>
        <w:left w:val="none" w:sz="0" w:space="0" w:color="auto"/>
        <w:bottom w:val="none" w:sz="0" w:space="0" w:color="auto"/>
        <w:right w:val="none" w:sz="0" w:space="0" w:color="auto"/>
      </w:divBdr>
      <w:divsChild>
        <w:div w:id="36009647">
          <w:marLeft w:val="0"/>
          <w:marRight w:val="0"/>
          <w:marTop w:val="0"/>
          <w:marBottom w:val="0"/>
          <w:divBdr>
            <w:top w:val="none" w:sz="0" w:space="0" w:color="auto"/>
            <w:left w:val="none" w:sz="0" w:space="0" w:color="auto"/>
            <w:bottom w:val="none" w:sz="0" w:space="0" w:color="auto"/>
            <w:right w:val="none" w:sz="0" w:space="0" w:color="auto"/>
          </w:divBdr>
          <w:divsChild>
            <w:div w:id="1379889707">
              <w:marLeft w:val="0"/>
              <w:marRight w:val="0"/>
              <w:marTop w:val="0"/>
              <w:marBottom w:val="0"/>
              <w:divBdr>
                <w:top w:val="none" w:sz="0" w:space="0" w:color="auto"/>
                <w:left w:val="none" w:sz="0" w:space="0" w:color="auto"/>
                <w:bottom w:val="none" w:sz="0" w:space="0" w:color="auto"/>
                <w:right w:val="none" w:sz="0" w:space="0" w:color="auto"/>
              </w:divBdr>
              <w:divsChild>
                <w:div w:id="10444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332</Words>
  <Characters>2116</Characters>
  <Application>Microsoft Office Word</Application>
  <DocSecurity>0</DocSecurity>
  <Lines>117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2</cp:revision>
  <dcterms:created xsi:type="dcterms:W3CDTF">2023-12-01T02:30:00Z</dcterms:created>
  <dcterms:modified xsi:type="dcterms:W3CDTF">2023-12-01T02:57:00Z</dcterms:modified>
</cp:coreProperties>
</file>