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Poppins" w:cs="Poppins" w:eastAsia="Poppins" w:hAnsi="Poppins"/>
          <w:b w:val="1"/>
          <w:color w:val="45818e"/>
          <w:sz w:val="20"/>
          <w:szCs w:val="20"/>
          <w:shd w:fill="d0e0e3" w:val="clear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shd w:fill="d0e0e3" w:val="clear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Nome Solicitante: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Valéria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20240729143644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oppins" w:cs="Poppins" w:eastAsia="Poppins" w:hAnsi="Poppins"/>
          <w:b w:val="1"/>
          <w:color w:val="4581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Tipo de Material: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digital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Qual Material: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E-MAIL MARKETING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Qual Público do Material: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CLIENTE FINAL (VENDAS E COMERCIALIZAÇÃO)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oppins" w:cs="Poppins" w:eastAsia="Poppins" w:hAnsi="Poppins"/>
          <w:b w:val="1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Logos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Empresa(s):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MountPay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oppins" w:cs="Poppins" w:eastAsia="Poppins" w:hAnsi="Poppins"/>
          <w:b w:val="1"/>
          <w:color w:val="45818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Poppins" w:cs="Poppins" w:eastAsia="Poppins" w:hAnsi="Poppins"/>
          <w:color w:val="45818e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45818e"/>
          <w:sz w:val="20"/>
          <w:szCs w:val="20"/>
          <w:rtl w:val="0"/>
        </w:rPr>
        <w:t xml:space="preserve">Especificações do material: </w:t>
      </w:r>
      <w:r w:rsidDel="00000000" w:rsidR="00000000" w:rsidRPr="00000000">
        <w:rPr>
          <w:rFonts w:ascii="Poppins" w:cs="Poppins" w:eastAsia="Poppins" w:hAnsi="Poppins"/>
          <w:color w:val="45818e"/>
          <w:sz w:val="20"/>
          <w:szCs w:val="20"/>
          <w:rtl w:val="0"/>
        </w:rPr>
        <w:t xml:space="preserve">Por gentileza, segue um parâmetro para o e-mail de marketing de boas -vindas Mount Pay, além de focar nas vantagens de ser correntista PF no caso, precisamos focar nos parceiros e benefícios, pois está acontecendo casos que clientes recebem o e-mail da Vida Class por exemplo e desconhecem sobre a parceira e logo, o benefício das mesmas.Desde já grata pela atenção.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0b5394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__________________________</w:t>
      </w:r>
      <w:r w:rsidDel="00000000" w:rsidR="00000000" w:rsidRPr="00000000">
        <w:rPr>
          <w:color w:val="0b5394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color w:val="a64d79"/>
          <w:shd w:fill="ead1dc" w:val="clear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SEJA BEM-VINDO AO BANCO MOUNT PAY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Nossa missão é zelar por um sistema financeiro sólido, eficiente e competitivo, com agilidade e competência através da inclusão bancária e da mobilidade.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Muito obrigado por escolher a Mount Pay, é um prazer tê-lo como cliente! E por isso, trazemos de forma transparente e prática, vantagens que só você enquanto correntista pessoa física possui. Quais são elas?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Conta Digital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Cartão Mount Pay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Atendimento Humanizado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Suporte Online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Gerentes especializados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Aplicativo próprio para transações seguras e eficientes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Emissão de boletos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 Consórcio Nacional Mount Pay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033713" cy="21214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2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Além disso, você também conta com diversos benefícios pensados exclusivamente para você!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*Telemedicina   *Assistência Funeral   *Seguro Morte Acidental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 tudo isso ser possível, contamos com parcerias incríveis! Conheça alguns de nossos parceiros: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1632646" cy="6003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646" cy="6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186335" cy="6003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335" cy="60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1204913" cy="6138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61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Poppins" w:cs="Poppins" w:eastAsia="Poppins" w:hAnsi="Poppins"/>
          <w:sz w:val="20"/>
          <w:szCs w:val="20"/>
          <w:shd w:fill="fff2cc" w:val="clear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shd w:fill="fff2cc" w:val="clear"/>
          <w:rtl w:val="0"/>
        </w:rPr>
        <w:t xml:space="preserve">(Clicar em cima de cada parceiro e direcionar ao site, com observação que clicar na Freedom já direciona para o Vidaclass e se colocar a função no vidaclass também deve direcionar ao site da Freedom)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Poppins" w:cs="Poppins" w:eastAsia="Poppins" w:hAnsi="Poppins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Ficou com alguma dúvida? SAIBA MAIS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Poppins" w:cs="Poppins" w:eastAsia="Poppins" w:hAnsi="Poppins"/>
          <w:sz w:val="20"/>
          <w:szCs w:val="20"/>
          <w:shd w:fill="fff2cc" w:val="clear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shd w:fill="fff2cc" w:val="clear"/>
          <w:rtl w:val="0"/>
        </w:rPr>
        <w:t xml:space="preserve">Clicar em cima do “saiba mais” e direcionar ao site Mount Pay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