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F356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rStyle w:val="Textoennegrita"/>
          <w:rFonts w:eastAsiaTheme="majorEastAsia"/>
          <w:lang w:val="en-US"/>
        </w:rPr>
        <w:t>Dear Editors,</w:t>
      </w:r>
    </w:p>
    <w:p w14:paraId="243CE344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 xml:space="preserve">I am pleased to submit the manuscript </w:t>
      </w:r>
      <w:r w:rsidRPr="00BD016D">
        <w:rPr>
          <w:rStyle w:val="nfasis"/>
          <w:rFonts w:eastAsiaTheme="majorEastAsia"/>
          <w:lang w:val="en-US"/>
        </w:rPr>
        <w:t>“Long-Memory Volatility Modelling: A Comparative Analysis of GARCH and FIGARCH with Multifractal Diagnostics”</w:t>
      </w:r>
      <w:r w:rsidRPr="00BD016D">
        <w:rPr>
          <w:lang w:val="en-US"/>
        </w:rPr>
        <w:t xml:space="preserve"> for consideration in the </w:t>
      </w:r>
      <w:r w:rsidRPr="00BD016D">
        <w:rPr>
          <w:rStyle w:val="nfasis"/>
          <w:rFonts w:eastAsiaTheme="majorEastAsia"/>
          <w:lang w:val="en-US"/>
        </w:rPr>
        <w:t>International Review of Financial Analysis</w:t>
      </w:r>
      <w:r w:rsidRPr="00BD016D">
        <w:rPr>
          <w:lang w:val="en-US"/>
        </w:rPr>
        <w:t>.</w:t>
      </w:r>
    </w:p>
    <w:p w14:paraId="4EE763F2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>The paper offers an integrated empirical assessment of long-memory volatility models by combining FIGARCH estimation with multifractal diagnostics. Using daily data for five major asset classes, the study shows that:</w:t>
      </w:r>
    </w:p>
    <w:p w14:paraId="1DF21641" w14:textId="507D0139" w:rsidR="00BD016D" w:rsidRPr="00BD016D" w:rsidRDefault="00BD016D" w:rsidP="00BD016D">
      <w:pPr>
        <w:pStyle w:val="NormalWeb"/>
        <w:numPr>
          <w:ilvl w:val="0"/>
          <w:numId w:val="9"/>
        </w:numPr>
        <w:jc w:val="both"/>
        <w:rPr>
          <w:lang w:val="en-US"/>
        </w:rPr>
      </w:pPr>
      <w:r w:rsidRPr="00BD016D">
        <w:rPr>
          <w:lang w:val="en-US"/>
        </w:rPr>
        <w:t xml:space="preserve">volatility persistence is heterogeneous across markets and strongly aligned with multifractal </w:t>
      </w:r>
      <w:r w:rsidRPr="00BD016D">
        <w:rPr>
          <w:lang w:val="en-US"/>
        </w:rPr>
        <w:t>scaling.</w:t>
      </w:r>
    </w:p>
    <w:p w14:paraId="6B4C7F32" w14:textId="77777777" w:rsidR="00BD016D" w:rsidRPr="00BD016D" w:rsidRDefault="00BD016D" w:rsidP="00BD016D">
      <w:pPr>
        <w:pStyle w:val="NormalWeb"/>
        <w:numPr>
          <w:ilvl w:val="0"/>
          <w:numId w:val="9"/>
        </w:numPr>
        <w:jc w:val="both"/>
        <w:rPr>
          <w:lang w:val="en-US"/>
        </w:rPr>
      </w:pPr>
      <w:r w:rsidRPr="00BD016D">
        <w:rPr>
          <w:lang w:val="en-US"/>
        </w:rPr>
        <w:t>FIGARCH achieves materially better tail-risk calibration when long-memory dynamics are structurally stable; and</w:t>
      </w:r>
    </w:p>
    <w:p w14:paraId="70B89B38" w14:textId="77777777" w:rsidR="00BD016D" w:rsidRPr="00BD016D" w:rsidRDefault="00BD016D" w:rsidP="00BD016D">
      <w:pPr>
        <w:pStyle w:val="NormalWeb"/>
        <w:numPr>
          <w:ilvl w:val="0"/>
          <w:numId w:val="9"/>
        </w:numPr>
        <w:jc w:val="both"/>
        <w:rPr>
          <w:lang w:val="en-US"/>
        </w:rPr>
      </w:pPr>
      <w:r w:rsidRPr="00BD016D">
        <w:rPr>
          <w:lang w:val="en-US"/>
        </w:rPr>
        <w:t>the model’s performance deteriorates in the presence of volatility regime shifts, clarifying the boundary between genuine fractional persistence and structural breaks.</w:t>
      </w:r>
    </w:p>
    <w:p w14:paraId="7527AF7F" w14:textId="5B0099C1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 xml:space="preserve">These findings contribute to the literature by reconciling parametric FIGARCH estimation with non-parametric multifractal evidence, and by identifying the market conditions under which fractional volatility models provide economically relevant risk assessments. This aligns directly with IRFA’s emphasis on empirical market </w:t>
      </w:r>
      <w:r w:rsidRPr="00BD016D">
        <w:rPr>
          <w:lang w:val="en-US"/>
        </w:rPr>
        <w:t>behavior</w:t>
      </w:r>
      <w:r w:rsidRPr="00BD016D">
        <w:rPr>
          <w:lang w:val="en-US"/>
        </w:rPr>
        <w:t>, risk modelling, and econometric methods.</w:t>
      </w:r>
    </w:p>
    <w:p w14:paraId="0E849A98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>All data used in the study are publicly available, and a complete replication package—including scripts, diagnostics, processed datasets, and the full pipeline—is available at:</w:t>
      </w:r>
    </w:p>
    <w:p w14:paraId="102B6BA6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 xml:space="preserve">Zenodo: </w:t>
      </w:r>
      <w:hyperlink r:id="rId5" w:tgtFrame="_new" w:history="1">
        <w:r w:rsidRPr="00BD016D">
          <w:rPr>
            <w:rStyle w:val="Hipervnculo"/>
            <w:rFonts w:eastAsiaTheme="majorEastAsia"/>
            <w:lang w:val="en-US"/>
          </w:rPr>
          <w:t>https://doi.org/10.5281/zenodo.17771383</w:t>
        </w:r>
      </w:hyperlink>
    </w:p>
    <w:p w14:paraId="6CCD7C25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>This manuscript constitutes original work, has not been published previously, and is not under review elsewhere.</w:t>
      </w:r>
    </w:p>
    <w:p w14:paraId="2220842A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rStyle w:val="Textoennegrita"/>
          <w:rFonts w:eastAsiaTheme="majorEastAsia"/>
          <w:lang w:val="en-US"/>
        </w:rPr>
        <w:t>Sincerely,</w:t>
      </w:r>
      <w:r w:rsidRPr="00BD016D">
        <w:rPr>
          <w:lang w:val="en-US"/>
        </w:rPr>
        <w:br/>
        <w:t>José Luis Gamo</w:t>
      </w:r>
    </w:p>
    <w:p w14:paraId="4869360E" w14:textId="77777777" w:rsidR="007F64FE" w:rsidRPr="00BD016D" w:rsidRDefault="007F64FE" w:rsidP="00BD016D">
      <w:pPr>
        <w:jc w:val="both"/>
        <w:rPr>
          <w:lang w:val="en-US"/>
        </w:rPr>
      </w:pPr>
    </w:p>
    <w:sectPr w:rsidR="007F64FE" w:rsidRPr="00BD01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1B0"/>
    <w:multiLevelType w:val="hybridMultilevel"/>
    <w:tmpl w:val="035057D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C3133"/>
    <w:multiLevelType w:val="hybridMultilevel"/>
    <w:tmpl w:val="7034FE1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A00D1"/>
    <w:multiLevelType w:val="hybridMultilevel"/>
    <w:tmpl w:val="E2CC392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6142D"/>
    <w:multiLevelType w:val="hybridMultilevel"/>
    <w:tmpl w:val="75C6CB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C54E1"/>
    <w:multiLevelType w:val="hybridMultilevel"/>
    <w:tmpl w:val="F586D2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5129F"/>
    <w:multiLevelType w:val="hybridMultilevel"/>
    <w:tmpl w:val="063A25F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A6B2E"/>
    <w:multiLevelType w:val="hybridMultilevel"/>
    <w:tmpl w:val="25E0537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76C29"/>
    <w:multiLevelType w:val="hybridMultilevel"/>
    <w:tmpl w:val="64D4A3B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547638"/>
    <w:multiLevelType w:val="multilevel"/>
    <w:tmpl w:val="806E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362155">
    <w:abstractNumId w:val="0"/>
  </w:num>
  <w:num w:numId="2" w16cid:durableId="1945654322">
    <w:abstractNumId w:val="4"/>
  </w:num>
  <w:num w:numId="3" w16cid:durableId="629743422">
    <w:abstractNumId w:val="5"/>
  </w:num>
  <w:num w:numId="4" w16cid:durableId="159857727">
    <w:abstractNumId w:val="1"/>
  </w:num>
  <w:num w:numId="5" w16cid:durableId="1026753223">
    <w:abstractNumId w:val="6"/>
  </w:num>
  <w:num w:numId="6" w16cid:durableId="7608601">
    <w:abstractNumId w:val="2"/>
  </w:num>
  <w:num w:numId="7" w16cid:durableId="1945723574">
    <w:abstractNumId w:val="3"/>
  </w:num>
  <w:num w:numId="8" w16cid:durableId="1094205639">
    <w:abstractNumId w:val="7"/>
  </w:num>
  <w:num w:numId="9" w16cid:durableId="1645639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24"/>
    <w:rsid w:val="00191474"/>
    <w:rsid w:val="00426D64"/>
    <w:rsid w:val="005E477C"/>
    <w:rsid w:val="006B7724"/>
    <w:rsid w:val="007F64FE"/>
    <w:rsid w:val="00860E19"/>
    <w:rsid w:val="008D16A0"/>
    <w:rsid w:val="00A71CF6"/>
    <w:rsid w:val="00AB2DF5"/>
    <w:rsid w:val="00BD016D"/>
    <w:rsid w:val="00F20AA0"/>
    <w:rsid w:val="00FD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8094D"/>
  <w15:chartTrackingRefBased/>
  <w15:docId w15:val="{8634613A-11D6-2746-B100-D53F153A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7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7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7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7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7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7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7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7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7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7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7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7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7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7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7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6B7724"/>
    <w:rPr>
      <w:b/>
      <w:bCs/>
    </w:rPr>
  </w:style>
  <w:style w:type="character" w:styleId="nfasis">
    <w:name w:val="Emphasis"/>
    <w:basedOn w:val="Fuentedeprrafopredeter"/>
    <w:uiPriority w:val="20"/>
    <w:qFormat/>
    <w:rsid w:val="006B772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26D64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F20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5281/zenodo.177713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Gamo</dc:creator>
  <cp:keywords/>
  <dc:description/>
  <cp:lastModifiedBy>Jose Luis Gamo</cp:lastModifiedBy>
  <cp:revision>2</cp:revision>
  <dcterms:created xsi:type="dcterms:W3CDTF">2025-12-08T17:52:00Z</dcterms:created>
  <dcterms:modified xsi:type="dcterms:W3CDTF">2025-12-08T17:52:00Z</dcterms:modified>
</cp:coreProperties>
</file>